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6334" w:leader="none"/>
        </w:tabs>
        <w:spacing w:lineRule="auto" w:line="276" w:before="120" w:after="0"/>
        <w:rPr/>
      </w:pPr>
      <w:r>
        <w:rPr>
          <w:rFonts w:cs="Calibri" w:ascii="Times New Roman" w:hAnsi="Times New Roman" w:cstheme="minorHAnsi"/>
          <w:sz w:val="22"/>
          <w:szCs w:val="22"/>
        </w:rPr>
        <w:t xml:space="preserve">Znak sprawy: </w:t>
      </w:r>
      <w:r>
        <w:rPr>
          <w:rFonts w:cs="Calibri" w:ascii="Times New Roman" w:hAnsi="Times New Roman"/>
          <w:sz w:val="22"/>
          <w:szCs w:val="22"/>
        </w:rPr>
        <w:t>ZOZ/ZP/8/10/2021</w:t>
        <w:tab/>
        <w:tab/>
        <w:t xml:space="preserve">         </w:t>
      </w:r>
      <w:r>
        <w:rPr>
          <w:rFonts w:cs="Calibri" w:ascii="Times New Roman" w:hAnsi="Times New Roman" w:cstheme="minorHAnsi"/>
          <w:sz w:val="22"/>
          <w:szCs w:val="22"/>
        </w:rPr>
        <w:t>Pińczów, dnia 04.11.2021 r.</w:t>
      </w:r>
    </w:p>
    <w:p>
      <w:pPr>
        <w:pStyle w:val="Normal"/>
        <w:tabs>
          <w:tab w:val="clear" w:pos="709"/>
          <w:tab w:val="left" w:pos="6334" w:leader="none"/>
        </w:tabs>
        <w:spacing w:lineRule="auto" w:line="276" w:before="0" w:after="0"/>
        <w:rPr>
          <w:rFonts w:ascii="Times New Roman" w:hAnsi="Times New Roman"/>
        </w:rPr>
      </w:pPr>
      <w:r>
        <w:rPr>
          <w:rFonts w:cs="Calibri" w:ascii="Times New Roman" w:hAnsi="Times New Roman" w:cstheme="minorHAnsi"/>
          <w:b/>
          <w:sz w:val="22"/>
          <w:szCs w:val="22"/>
        </w:rPr>
        <w:t>Do wszystkich zainteresowanych,</w:t>
      </w:r>
    </w:p>
    <w:p>
      <w:pPr>
        <w:pStyle w:val="Normal"/>
        <w:tabs>
          <w:tab w:val="clear" w:pos="709"/>
          <w:tab w:val="left" w:pos="6334" w:leader="none"/>
        </w:tabs>
        <w:spacing w:lineRule="auto" w:line="276" w:before="0" w:after="240"/>
        <w:rPr>
          <w:rFonts w:cs="Calibri" w:cstheme="minorHAnsi"/>
          <w:b/>
          <w:b/>
        </w:rPr>
      </w:pPr>
      <w:r>
        <w:rPr>
          <w:rFonts w:cs="Calibri" w:ascii="Times New Roman" w:hAnsi="Times New Roman" w:cstheme="minorHAnsi"/>
          <w:b/>
          <w:sz w:val="22"/>
          <w:szCs w:val="22"/>
        </w:rPr>
        <w:t>którzy pobrali SWZ</w:t>
      </w:r>
    </w:p>
    <w:p>
      <w:pPr>
        <w:pStyle w:val="Normal"/>
        <w:tabs>
          <w:tab w:val="clear" w:pos="709"/>
          <w:tab w:val="left" w:pos="6334" w:leader="none"/>
        </w:tabs>
        <w:spacing w:lineRule="auto" w:line="276" w:before="0" w:after="0"/>
        <w:jc w:val="center"/>
        <w:rPr/>
      </w:pPr>
      <w:r>
        <w:rPr>
          <w:rFonts w:cs="Calibri" w:ascii="Times New Roman" w:hAnsi="Times New Roman" w:cstheme="minorHAnsi"/>
          <w:b/>
          <w:sz w:val="22"/>
          <w:szCs w:val="22"/>
        </w:rPr>
        <w:t>ODPOWIEDŹ NR 1</w:t>
      </w:r>
    </w:p>
    <w:p>
      <w:pPr>
        <w:pStyle w:val="Normal"/>
        <w:tabs>
          <w:tab w:val="clear" w:pos="709"/>
          <w:tab w:val="left" w:pos="6334" w:leader="none"/>
        </w:tabs>
        <w:spacing w:lineRule="auto" w:line="276" w:before="0" w:after="120"/>
        <w:jc w:val="center"/>
        <w:rPr>
          <w:rFonts w:cs="Calibri" w:cstheme="minorHAnsi"/>
          <w:b/>
          <w:b/>
        </w:rPr>
      </w:pPr>
      <w:r>
        <w:rPr>
          <w:rFonts w:cs="Calibri" w:ascii="Times New Roman" w:hAnsi="Times New Roman" w:cstheme="minorHAnsi"/>
          <w:b/>
          <w:sz w:val="22"/>
          <w:szCs w:val="22"/>
        </w:rPr>
        <w:t>NA WNIOSKI WYKONAWCÓW</w:t>
      </w:r>
    </w:p>
    <w:p>
      <w:pPr>
        <w:pStyle w:val="Normal"/>
        <w:spacing w:lineRule="auto" w:line="276" w:before="0" w:after="120"/>
        <w:jc w:val="both"/>
        <w:rPr/>
      </w:pPr>
      <w:r>
        <w:rPr>
          <w:rFonts w:cs="Calibri" w:ascii="Times New Roman" w:hAnsi="Times New Roman" w:cstheme="minorHAnsi"/>
          <w:b w:val="false"/>
          <w:bCs w:val="false"/>
          <w:sz w:val="22"/>
          <w:szCs w:val="22"/>
        </w:rPr>
        <w:t xml:space="preserve">Dotyczy: </w:t>
      </w:r>
      <w:r>
        <w:rPr>
          <w:rFonts w:cs="Times New Roman" w:ascii="Times New Roman" w:hAnsi="Times New Roman"/>
          <w:b w:val="false"/>
          <w:bCs w:val="false"/>
          <w:sz w:val="22"/>
          <w:szCs w:val="22"/>
        </w:rPr>
        <w:t xml:space="preserve">POSTĘPOWANIA O UDZIELENIE ZAMÓWIENIA PUBLICZNEGO PROWADZONEGO W TRYBIE PODSTAWOWYM BEZ NEGOCJACJI NA </w:t>
      </w:r>
      <w:r>
        <w:rPr>
          <w:rFonts w:eastAsia="Times New Roman" w:cs="Times New Roman" w:ascii="Times New Roman" w:hAnsi="Times New Roman"/>
          <w:b w:val="false"/>
          <w:bCs w:val="false"/>
          <w:i w:val="false"/>
          <w:iCs w:val="false"/>
          <w:sz w:val="22"/>
          <w:szCs w:val="22"/>
          <w:highlight w:val="white"/>
          <w:lang w:eastAsia="pl-PL"/>
        </w:rPr>
        <w:t>zakup i dostawę do siedziby Zamawiającego środków dezynfekcyjnych</w:t>
      </w:r>
      <w:r>
        <w:rPr>
          <w:rFonts w:eastAsia="Times New Roman" w:cs="Times New Roman" w:ascii="Times New Roman" w:hAnsi="Times New Roman"/>
          <w:b w:val="false"/>
          <w:bCs w:val="false"/>
          <w:i w:val="false"/>
          <w:iCs w:val="false"/>
          <w:color w:val="auto"/>
          <w:sz w:val="22"/>
          <w:szCs w:val="22"/>
          <w:highlight w:val="white"/>
          <w:lang w:eastAsia="pl-PL"/>
        </w:rPr>
        <w:t>.</w:t>
      </w:r>
    </w:p>
    <w:p>
      <w:pPr>
        <w:pStyle w:val="Normal"/>
        <w:spacing w:lineRule="auto" w:line="276" w:before="360" w:after="120"/>
        <w:ind w:hanging="0"/>
        <w:jc w:val="both"/>
        <w:rPr/>
      </w:pPr>
      <w:r>
        <w:rPr>
          <w:rFonts w:cs="Calibri" w:ascii="Times New Roman" w:hAnsi="Times New Roman" w:cstheme="minorHAnsi"/>
          <w:b/>
          <w:sz w:val="22"/>
          <w:szCs w:val="22"/>
        </w:rPr>
        <w:t xml:space="preserve">Zamawiający </w:t>
      </w:r>
      <w:r>
        <w:rPr>
          <w:rFonts w:cs="Calibri" w:ascii="Times New Roman" w:hAnsi="Times New Roman" w:cstheme="minorHAnsi"/>
          <w:sz w:val="22"/>
          <w:szCs w:val="22"/>
        </w:rPr>
        <w:t xml:space="preserve">– Zespół Opieki Zdrowotnej w Pińczowie, udziela na podstawie art. 284 ust. 2 ustawy PZP odpowiedzi na wnioski Wykonawców złożone w przedmiotowym postępowaniu w dniu 28.10.2021 r. i 29.10.2021 r. </w:t>
      </w:r>
      <w:r>
        <w:rPr>
          <w:rFonts w:cs="Calibri" w:ascii="Times New Roman" w:hAnsi="Times New Roman" w:cstheme="minorHAnsi"/>
          <w:sz w:val="22"/>
          <w:szCs w:val="22"/>
        </w:rPr>
        <w:t>i 03.11.2021 r.</w:t>
      </w:r>
    </w:p>
    <w:p>
      <w:pPr>
        <w:pStyle w:val="Normal"/>
        <w:jc w:val="both"/>
        <w:rPr>
          <w:rFonts w:cs="Century Gothic"/>
          <w:b/>
          <w:b/>
          <w:u w:val="single"/>
        </w:rPr>
      </w:pPr>
      <w:r>
        <w:rPr>
          <w:rFonts w:cs="Century Gothic"/>
          <w:b/>
          <w:u w:val="single"/>
        </w:rPr>
      </w:r>
    </w:p>
    <w:p>
      <w:pPr>
        <w:pStyle w:val="ListParagraph"/>
        <w:numPr>
          <w:ilvl w:val="0"/>
          <w:numId w:val="1"/>
        </w:numPr>
        <w:jc w:val="both"/>
        <w:rPr/>
      </w:pPr>
      <w:r>
        <w:rPr>
          <w:rFonts w:cs="Calibri Light" w:ascii="Roboto" w:hAnsi="Roboto" w:cstheme="majorHAnsi"/>
          <w:sz w:val="20"/>
          <w:szCs w:val="20"/>
        </w:rPr>
        <w:t>Czy Zamawiający w Pakiecie nr 1 poz. nr 2 dopuści delikatną, antybakteryjną emulsję przeznaczoną do mycia rąk oraz całego ciała. Bez zawartości barwników i kompozycji zapachowej. Nie podrażnia rąk, zawiera glicerynę i pochodną olejku kokosowego, może być stosowana do codziennego mycia rąk. zalecana dla alergików. Zawiera w swoim składzie triclosan. pH środka 5,5-6,0. Produkt zarejestrowany jako kosmetyk, posiadający badania dermatologiczne. Konfekcjonowany w opakowanie 500ml?</w:t>
      </w:r>
    </w:p>
    <w:p>
      <w:pPr>
        <w:pStyle w:val="Akapitzlist"/>
        <w:spacing w:lineRule="auto" w:line="276" w:before="0" w:after="120"/>
        <w:ind w:left="72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1</w:t>
        <w:br/>
      </w:r>
      <w:r>
        <w:rPr>
          <w:rFonts w:eastAsia="Calibri" w:cs="Times New Roman" w:ascii="Times New Roman" w:hAnsi="Times New Roman"/>
          <w:b w:val="false"/>
          <w:bCs w:val="false"/>
          <w:i w:val="false"/>
          <w:iCs w:val="false"/>
          <w:sz w:val="22"/>
          <w:szCs w:val="22"/>
          <w:u w:val="none"/>
        </w:rPr>
        <w:t>Zgodnie z SWZ.</w:t>
      </w:r>
    </w:p>
    <w:p>
      <w:pPr>
        <w:pStyle w:val="ListParagraph"/>
        <w:numPr>
          <w:ilvl w:val="0"/>
          <w:numId w:val="1"/>
        </w:numPr>
        <w:jc w:val="both"/>
        <w:rPr/>
      </w:pPr>
      <w:r>
        <w:rPr>
          <w:rFonts w:cs="Calibri Light" w:ascii="Roboto" w:hAnsi="Roboto" w:cstheme="majorHAnsi"/>
          <w:sz w:val="20"/>
          <w:szCs w:val="20"/>
        </w:rPr>
        <w:t>Czy Zamawiający w Pakiecie nr 1 poz. nr 5 dopuści preparat w proszku do mycia i dezynfekcji instrumentów chirurgicznych, dentystycznych, endoskopów, sond chirurgicznych, rurek do respiratorów i innych urządzeń anestezjologicznych, inkubatorów oraz powierzchni wyrobów medycznych. Do dezynfekcji manualnej, w myjkach ultradźwiękowych, myjniach automatycznych oraz w myjkach do endoskopów. Nie wymagający użycia aktywatora. Zawierający w swoim składzie cztery enzymy odpowiedzialne za usuwanie zanieczyszczeń organicznych takich jak krew, białko, tłuszcze, wydzieliny (proteazę, lipazę, amylazę i mannazę), nadwęglan sodu, TAED, kwas adypinowy, inhibitory korozji. Zawierający surfaktanty zapobiegające pyleniu proszku. Spektrum i czas działania dla wysokiego obciążenia organicznego: B (w tym MRSA), F (C.albicans, A.brasiliensis), Tbc (M.terrae, M.avium), V (Polio, Adeno, Noro, HIV, HBV, HCV, Rota, SARS, wirus grypy, Herpes simplex, Ebola), C. difficile 2% w 10 minut, B. subtilis 0,5% w 30 minut. Każde opakowanie zawiera miarkę dozującą. Konfekcjonowany w opakowanie 1kg z odpowiednim przeliczeniem ilości opakowań wymaganych przez Zamawiającego?</w:t>
      </w:r>
    </w:p>
    <w:p>
      <w:pPr>
        <w:pStyle w:val="Akapitzlist"/>
        <w:numPr>
          <w:ilvl w:val="0"/>
          <w:numId w:val="0"/>
        </w:numPr>
        <w:spacing w:lineRule="auto" w:line="276" w:before="0" w:after="120"/>
        <w:ind w:left="1440" w:right="0" w:hanging="0"/>
        <w:jc w:val="left"/>
        <w:rPr/>
      </w:pPr>
      <w:r>
        <w:rPr>
          <w:rFonts w:eastAsia="Calibri" w:cs="Times New Roman" w:ascii="Times New Roman" w:hAnsi="Times New Roman"/>
          <w:b/>
          <w:bCs/>
          <w:i w:val="false"/>
          <w:iCs w:val="false"/>
          <w:sz w:val="22"/>
          <w:szCs w:val="22"/>
          <w:u w:val="single"/>
        </w:rPr>
        <w:t>Odpowiedź nr 2</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1 poz. nr 6 dopuści gotowe do użycia chusteczki do mycia i dezynfekcji delikatnych powierzchni wrażliwych na działanie alkoholi. Do dezynfekcji powierzchni sprzętu medycznego z tworzyw sztucznych, szkła akrylowego, stali szlachetnej, metalu, aluminium, gumy, porcelany. Do dezynfekcji aparatury medycznej, sprzętu rehabilitacyjnego, foteli zabiegowych, inkubatorów, głowic USG i lamp. Skład: N-(3-aminopropylo)-N-dodecylopropano-1,3-diamina, poli(oksy-1,2-etanodilo),.alfa.-[2-(didecylmetyloamino)etylo]-omega.-hydroksy-,propanian(sól).  Rozmiar min. 13 x 20 cm. Konfekcjonowane w opakowanie po 100 szt.-puszka posiadające możliwość wymiany wkładów lub wkłady po 100 szt. Z odpowiednim przeliczeniem ilości opakowań wymaganych przez Zamawiającego?</w:t>
      </w:r>
    </w:p>
    <w:p>
      <w:pPr>
        <w:pStyle w:val="Akapitzlist"/>
        <w:numPr>
          <w:ilvl w:val="0"/>
          <w:numId w:val="0"/>
        </w:numPr>
        <w:spacing w:lineRule="auto" w:line="276" w:before="0" w:after="120"/>
        <w:ind w:left="1440" w:right="0" w:hanging="0"/>
        <w:jc w:val="left"/>
        <w:rPr/>
      </w:pPr>
      <w:r>
        <w:rPr>
          <w:rFonts w:eastAsia="Calibri" w:cs="Times New Roman" w:ascii="Times New Roman" w:hAnsi="Times New Roman"/>
          <w:b/>
          <w:bCs/>
          <w:i w:val="false"/>
          <w:iCs w:val="false"/>
          <w:sz w:val="22"/>
          <w:szCs w:val="22"/>
          <w:u w:val="single"/>
        </w:rPr>
        <w:t>Odpowiedź nr 3</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Prosimy o wydzielenie z Pakietu nr 1 z pozycji nr 2, 5, 6 i utworzenie odrębnego pakietu na podstawie art. 91 ust. 1 ustawy z dnia 11 września 2019 r Prawo Zamówień Publicznych (dalej ustawa „ustawy PZP”). Powyższa zmiana umożliwi złożenie oferty większej ilości Wykonawców a Zamawiającemu wybranie oferty najbardziej korzystnej cenowo.</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4</w:t>
        <w:br/>
      </w:r>
      <w:r>
        <w:rPr>
          <w:rFonts w:eastAsia="Calibri" w:cs="Times New Roman" w:ascii="Times New Roman" w:hAnsi="Times New Roman"/>
          <w:b w:val="false"/>
          <w:bCs w:val="false"/>
          <w:i w:val="false"/>
          <w:iCs w:val="false"/>
          <w:sz w:val="22"/>
          <w:szCs w:val="22"/>
          <w:u w:val="none"/>
        </w:rPr>
        <w:t>Nie, Zamawiający nie wydzieli.</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ind w:left="360" w:hanging="0"/>
        <w:jc w:val="both"/>
        <w:rPr/>
      </w:pPr>
      <w:r>
        <w:rPr>
          <w:rFonts w:cs="Calibri Light" w:ascii="Roboto" w:hAnsi="Roboto" w:cstheme="majorHAnsi"/>
          <w:sz w:val="20"/>
          <w:szCs w:val="20"/>
        </w:rPr>
        <w:t>Zgodnie z zasadą konkurencyjności, jeżeli Zamawiający nie zdecyduje się na podział zamówienia na części, to jest zobligowany do wskazania w dokumentach zamówienia powodów niedokonania podziału na części konkretnego zamówienia.</w:t>
      </w:r>
    </w:p>
    <w:p>
      <w:pPr>
        <w:pStyle w:val="ListParagraph"/>
        <w:ind w:left="360" w:hanging="0"/>
        <w:jc w:val="both"/>
        <w:rPr>
          <w:rFonts w:ascii="Roboto" w:hAnsi="Roboto" w:cs="Calibri Light" w:cstheme="majorHAnsi"/>
          <w:sz w:val="20"/>
          <w:szCs w:val="20"/>
        </w:rPr>
      </w:pPr>
      <w:r>
        <w:rPr>
          <w:rFonts w:cs="Calibri Light" w:cstheme="majorHAnsi" w:ascii="Roboto" w:hAnsi="Roboto"/>
          <w:sz w:val="20"/>
          <w:szCs w:val="20"/>
        </w:rPr>
      </w:r>
    </w:p>
    <w:p>
      <w:pPr>
        <w:pStyle w:val="ListParagraph"/>
        <w:ind w:left="360" w:hanging="0"/>
        <w:jc w:val="both"/>
        <w:rPr/>
      </w:pPr>
      <w:r>
        <w:rPr>
          <w:rFonts w:cs="Calibri Light" w:ascii="Roboto" w:hAnsi="Roboto" w:cstheme="majorHAnsi"/>
          <w:sz w:val="20"/>
          <w:szCs w:val="20"/>
        </w:rPr>
        <w:t xml:space="preserve">Opisane wyżej uprawnienie Zamawiającego do podziału zamówienia na odrębne pakiety w określonych okolicznościach staje się w określonych okolicznościach obowiązkiem.  </w:t>
      </w:r>
    </w:p>
    <w:p>
      <w:pPr>
        <w:pStyle w:val="ListParagraph"/>
        <w:jc w:val="both"/>
        <w:rPr/>
      </w:pPr>
      <w:r>
        <w:rPr>
          <w:rFonts w:cs="Calibri Light" w:ascii="Roboto" w:hAnsi="Roboto" w:cstheme="majorHAnsi"/>
          <w:sz w:val="20"/>
          <w:szCs w:val="20"/>
        </w:rPr>
        <w:t>W ocenie Wykonawcy w przedmiotowym przypadku, Zamawiający ma obowiązek podziału zamówienia na odrębne pakiety.</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W świetle opinii Urzędu Zamówień Publicznych „Decyzja co do podziału zamówienia na określoną ilość części należy do zamawiającego. Zamawiający podejmuje ją w zależności od swoich potrzeb, jednakże jego swoboda jest ograniczona zasadą zachowania uczciwej konkurencji. (…) Prawidłowość postępowania zamawiającego, który nie dokonał podziału zamówienia na tyle części, na ile jest to potencjalnie możliwe, oceniana musi być każdorazowo przy uwzględnieniu całokształtu okoliczności sprawy.” (https://www.uzp.gov.pl/baza-wiedzy/interpretacja-przepisow/pytania-i-odpowiedzi--dotyczace-nowelizacji-ustawy-prawo-zamowien-publicznych/podzial-zamowienia-na-czesci).</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Dodatkowo, zgodnie z motywem 78 preambuły Dyrektywa Parlamentu Europejskiego i Rady 2014/24/UE z dnia 26 lutego 2014 r. w sprawie zamówień publicznych, (dalej zwanej jako „Dyrektywa”) zamówienia publiczne powinny być dostosowane do potrzeb MŚP. Instytucje zamawiające należy zachęcać do korzystania z kodeksu najlepszych praktyk określonego w dokumencie roboczym służb Komisji z dnia 25 czerwca 2008 r. zatytułowanym „Europejski kodeks najlepszych praktyk ułatwiających dostęp MŚP do zamówień publicznych”, zawierającego wytyczne mówiące o tym, w jaki sposób instytucje te mogą stosować ramy zamówień publicznych, aby ułatwić udział MŚP. W tym celu oraz aby zwiększyć konkurencję, instytucje zamawiające należy w szczególności zachęcać do dzielenia dużych zamówień na części.</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Podziału takiego można dokonać na zasadzie ilościowej, tak by wielkość poszczególnych zamówień lepiej odpowiadała możliwościom MŚP, lub na zasadzie jakościowej, z uwzględnieniem rożnych zaangażowanych branż i specjalizacji, tak by w większym stopniu dostosować treść poszczególnych zamówień do wyspecjalizowanych sektorów MŚP, lub według rożnych kolejnych etapów projektu.</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W świetle art. 42 ust. 2 Dyrektywy  „Specyfikacje techniczne zapewniają równy dostęp wykonawców do postępowania o udzielenie zamówienia i nie tworzą nieuzasadnionych przeszkód dla otwarcia zamówienia publicznego na konkurencję.”</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 xml:space="preserve">W celu wzmocnienia przedstawionej argumentacji warto przywołać tutaj wyrok Krajowej Izby Odwoławczej, o sygnaturze KIO 967/18 z dnia 1 czerwca 2018 r.  „Naruszeniem zasady uczciwej konkurencji jest nie tylko opis przedmiotu zamówienia wskazujący na jeden konkretny produkt lub wykonawcę, ale także taki opis, który umożliwia dostęp do zamówienia kilku wykonawcom, jednocześnie uniemożliwiając go w sposób nieuzasadniony innym, którzy również byliby </w:t>
        <w:br/>
        <w:t xml:space="preserve">w stanie wykonać dane zamówienie. Oznacza to, że w przypadku oceny konkretnego stanu faktycznego jako naruszenia zakazu sformułowanego w art. 29 ust. 2 p.z.p. wystarczające jest uprawdopodobnienie utrudnienia konkurencji przy opisie przedmiotu zamówienia. Sporządzony przez zamawiającego opis przedmiotu zamówienia powinien tym samym w maksymalnym stopniu zapewniać zachowanie zasad uczciwej konkurencji i równego dostępu do zamówienia, wyrażonych w art. 7 ust. 1 p.z.p., rozszerzonych w art. 29 ust. 2 Pzp </w:t>
        <w:br/>
        <w:t xml:space="preserve">o zakaz opisywania przedmiotu zamówienia w sposób, który mógłby utrudniać uczciwą konkurencję. Do stwierdzenia faktu nieprawidłowości w opisie przedmiotu zamówienia wystarczające jest jedynie zaistnienie możliwości utrudniania uczciwej konkurencji przez zastosowanie określonych postanowień </w:t>
      </w:r>
    </w:p>
    <w:p>
      <w:pPr>
        <w:pStyle w:val="ListParagraph"/>
        <w:jc w:val="both"/>
        <w:rPr/>
      </w:pPr>
      <w:r>
        <w:rPr>
          <w:rFonts w:cs="Calibri Light" w:ascii="Roboto" w:hAnsi="Roboto" w:cstheme="majorHAnsi"/>
          <w:sz w:val="20"/>
          <w:szCs w:val="20"/>
        </w:rPr>
        <w:t>w specyfikacji, niekoniecznie zaś realnego uniemożliwienia takiej konkurencji.”</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Zatem, nie ulega wątpliwości, że wskazanie w dokumentacji przetargowej konkretnego produktu stanowi naruszenie zasady uczciwej konkurencji.</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Zgodnie z Uchwałą z dnia 13 maja 2016 r., o sygnaturze KIO/KD 32/16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rygorystycznych wymagań co do parametrów technicznych, które nie są uzasadnione obiektywnymi potrzebami zamawiającego i które uniemożliwiają niektórym wykonawcom udział w postępowaniu, ograniczając w ten sposób krąg podmiotów zdolnych do wykonania zamówienia. Opisu przedmiotu zamówienia należy dokonywać z najwyższą starannością. Zamawiający decydując się na wyartykułowanie określonych cech zamawianych dóbr winien po pierwsze, znajdować uzasadnienie dla ich określenia w konkretnym kształcie, po drugie, zamawiający winien mieć pewność, że prowadzone postępowanie nie zaburza konkurencji na rynku. Nie chodzi bowiem jedynie o pozorne zagwarantowanie realizacji zasady uczciwej konkurencji.”</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Mając na uwadze powyższe, wzywam Zamawiającego do przestrzegania ustawy PZP i dokonania zmiany dokumentacji przetargowej poprzez dopuszczenie produktów z pytania nr 1-3 oraz wydzielenie z Pakietu nr 1 z pozycji nr 1,5,6 i utworzenie odrębnego pakietu.</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1 dopuści mydło w postaci pianki do higienicznego mycia rąk . Nie zawierająca mydła. Zalecana do stosowania u osób z alergią i nietolerancją na produkty na bazie mydła. Tworząca białą, trwała i gęstą piankę delikatne pokrywając myte dłonie. Konfekcjonowany w opakowanie 1L(jednorazowe woreczki) z odpowiednim przeliczeniem ilości opakowań wymaganych przez Zamawiającego?</w:t>
      </w:r>
    </w:p>
    <w:p>
      <w:pPr>
        <w:pStyle w:val="Akapitzlist"/>
        <w:spacing w:lineRule="auto" w:line="276" w:before="0" w:after="120"/>
        <w:ind w:left="720" w:right="0" w:hanging="0"/>
        <w:jc w:val="left"/>
        <w:rPr/>
      </w:pPr>
      <w:r>
        <w:rPr>
          <w:rFonts w:eastAsia="Calibri" w:cs="Times New Roman" w:ascii="Times New Roman" w:hAnsi="Times New Roman"/>
          <w:b/>
          <w:bCs/>
          <w:i w:val="false"/>
          <w:iCs w:val="false"/>
          <w:sz w:val="22"/>
          <w:szCs w:val="22"/>
          <w:u w:val="single"/>
        </w:rPr>
        <w:t>Odpowiedź nr 5</w:t>
        <w:br/>
      </w:r>
      <w:r>
        <w:rPr>
          <w:rFonts w:eastAsia="Calibri" w:cs="Times New Roman" w:ascii="Times New Roman" w:hAnsi="Times New Roman"/>
          <w:b w:val="false"/>
          <w:bCs w:val="false"/>
          <w:i w:val="false"/>
          <w:iCs w:val="false"/>
          <w:sz w:val="22"/>
          <w:szCs w:val="22"/>
          <w:u w:val="none"/>
        </w:rPr>
        <w:t>Zgodnie z SWZ.</w:t>
      </w:r>
    </w:p>
    <w:p>
      <w:pPr>
        <w:pStyle w:val="ListParagraph"/>
        <w:numPr>
          <w:ilvl w:val="0"/>
          <w:numId w:val="1"/>
        </w:numPr>
        <w:jc w:val="both"/>
        <w:rPr/>
      </w:pPr>
      <w:r>
        <w:rPr>
          <w:rFonts w:cs="Calibri Light" w:ascii="Roboto" w:hAnsi="Roboto" w:cstheme="majorHAnsi"/>
          <w:sz w:val="20"/>
          <w:szCs w:val="20"/>
        </w:rPr>
        <w:t>W przypadku dopuszczenia preparatu z Pakietu nr 2 poz.nr 1 (pytanie 5) prosimy o określenie ilości dozowników w jakie należy wyposażyć szpital na czas trwania umowy?</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6</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2 dopuści mydło w postaci pianki do higienicznego mycia rąk . Nie zawierająca mydła. Zalecana do stosowania u osób z alergią i nietolerancją na produkty na bazie mydła. Tworząca białą, trwała i gęstą piankę delikatne pokrywając myte dłonie. Konfekcjonowany w opakowanie 1L(jednorazowe woreczki)  z odpowiednim przeliczeniem ilości opakowań wymaganych przez Zamawiającego?</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7</w:t>
        <w:br/>
      </w:r>
      <w:r>
        <w:rPr>
          <w:rFonts w:eastAsia="Calibri" w:cs="Times New Roman" w:ascii="Times New Roman" w:hAnsi="Times New Roman"/>
          <w:b w:val="false"/>
          <w:bCs w:val="false"/>
          <w:i w:val="false"/>
          <w:iCs w:val="false"/>
          <w:sz w:val="22"/>
          <w:szCs w:val="22"/>
          <w:u w:val="none"/>
        </w:rPr>
        <w:t>Zgodnie z SWZ.</w:t>
      </w:r>
    </w:p>
    <w:p>
      <w:pPr>
        <w:pStyle w:val="Normal"/>
        <w:jc w:val="bot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W przypadku dopuszczenia preparatu z Pakietu nr 2 poz.nr 2 (pytanie 7) prosimy o określenie ilości dozowników w jakie należy wyposażyć szpital na czas trwania umowy?</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8</w:t>
        <w:br/>
      </w:r>
      <w:r>
        <w:rPr>
          <w:rFonts w:eastAsia="Calibri" w:cs="Times New Roman" w:ascii="Times New Roman" w:hAnsi="Times New Roman"/>
          <w:b w:val="false"/>
          <w:bCs w:val="false"/>
          <w:i w:val="false"/>
          <w:iCs w:val="false"/>
          <w:sz w:val="22"/>
          <w:szCs w:val="22"/>
          <w:u w:val="none"/>
        </w:rPr>
        <w:t>Zgodnie z SWZ.</w:t>
      </w:r>
    </w:p>
    <w:p>
      <w:pPr>
        <w:pStyle w:val="Normal"/>
        <w:jc w:val="bot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3 dopuści żel przeznaczony do higienicznej i chirurgicznej dezynfekcji rąk. Skład: etanol, propan-2-ol. Łagodny dla dłoni, zawierający w swoim składzie glicerynę oraz formułę lex feel zapobiegającą uczuciu lepkości dłoni. Spektrum i czas działania: B, MRSA, Tbc (M.terrae), V (min. Vaccinia, SARS-Cov-2, HIV, HBV, HCV), BVDV, Rota, Noro w czasie do 60 sekund przy wysokim obciążeniu organicznym. Produkt biobójczy. Konfekcjonowany w opakowanie 1L( jednorazowe woreczki) z odpowiednim przeliczeniem ilości opakowań wymaganych przez Zamawiającego?</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9</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W przypadku dopuszczenia preparatu z Pakietu nr 2 poz.nr 3 (pytanie 9) prosimy o określenie ilości dozowników w jakie należy wyposażyć szpital na czas trwania umowy?</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10</w:t>
        <w:br/>
      </w:r>
      <w:r>
        <w:rPr>
          <w:rFonts w:eastAsia="Calibri" w:cs="Times New Roman" w:ascii="Times New Roman" w:hAnsi="Times New Roman"/>
          <w:b w:val="false"/>
          <w:bCs w:val="false"/>
          <w:i w:val="false"/>
          <w:iCs w:val="false"/>
          <w:sz w:val="22"/>
          <w:szCs w:val="22"/>
          <w:u w:val="none"/>
        </w:rPr>
        <w:t>Zgodnie z SWZ.</w:t>
      </w:r>
    </w:p>
    <w:p>
      <w:pPr>
        <w:pStyle w:val="Normal"/>
        <w:jc w:val="bot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4 dopuści emulsję do mycia rąk, skóry głowy, całego ciała na bazie anionowych związków powierzchniowo czynnych, amfoterycznych związków powierzchniowo czynnych (betaina kokosowa) z dodatkiem gliceryny. Nie zawierająca mydła. Polecany dla personelu medycznego oraz pacjentów z odleżynami. Produkt zarejestrowany jako kosmetyk, posiada badania dermatologiczne. pH 5,5 – 6,5. Konfekcjonowany w opakowanie 500ml?</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11</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5 dopuści płyn do higienicznej i chirurgicznej dezynfekcji rąk zawierający w 100 g: 63,7 g etanolu i 6,3 g propan-2-olu. Zawierający glicerynę. Spektrum bójcze: B (w tym MRSA), F (C.albicans), Tbc (M.terrae), V (Vaccinia, HIV, HBV, HCV, SARS-Cov-2, BVDV, rota noro) - do 60 sekund. Dezynfkecja higieniczna wg. EN 1500: 2x3ml w czasie 2x15 sekund. Dezynfekcja chirugiczna wg EN 12791: 2 x 3 ml przez 2 x 90 sekund. Konfekcjonowany w opakowanie 500ml?</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12</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6 dopuści ochronny krem (na bazie oleju w wodzie) przeznaczony do pielęgnacji skóry rąk i ciała. Odżywia, regeneruje skórę, wykazuje działanie stymulujące procesy odnowy naskórka. Posiada właściwości nawilżające, łagodzi podrażnienia. Niweluje uczucie szorstkości, uelastycznia. Zalecany do codziennego stosowania po częstym myciu rąk. Polecany dla osób narażonych na wysuszenie i macerację skóry w wyniku częstego mycia i używania rękawic ochronnych. Wykazuje działanie osłaniające, szybko się wchłania. Produkt zarejestrowany jako kosmetyk, posiada badania dermatologiczne. Zawiera witaminę E, glicerynę, oliwę z oliwek. Konfekcjonowany w opakowanie 500ml-butelka, z odpowiednim przeliczeniem ilości opakowań wymaganych przez Zamawiającego?</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13</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W przypadku dopuszczenia preparatu z Pakietu nr 2 poz.nr 6 (pytanie 13) prosimy o określenie ilości dozowników w jakie należy wyposażyć szpital na czas trwania umowy?</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14</w:t>
        <w:br/>
      </w:r>
      <w:r>
        <w:rPr>
          <w:rFonts w:eastAsia="Calibri" w:cs="Times New Roman" w:ascii="Times New Roman" w:hAnsi="Times New Roman"/>
          <w:b w:val="false"/>
          <w:bCs w:val="false"/>
          <w:i w:val="false"/>
          <w:iCs w:val="false"/>
          <w:sz w:val="22"/>
          <w:szCs w:val="22"/>
          <w:u w:val="none"/>
        </w:rPr>
        <w:t>Zgodnie z SWZ.</w:t>
      </w:r>
    </w:p>
    <w:p>
      <w:pPr>
        <w:pStyle w:val="Normal"/>
        <w:jc w:val="bot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7 dopuści ochronny krem (na bazie oleju w wodzie) przeznaczony do pielęgnacji skóry rąk i ciała. Odżywia, regeneruje skórę, wykazuje działanie stymulujące procesy odnowy naskórka. Posiada właściwości nawilżające, łagodzi podrażnienia. Niweluje uczucie szorstkości, uelastycznia. Zalecany do codziennego stosowania po częstym myciu rąk. Polecany dla osób narażonych na wysuszenie i macerację skóry w wyniku częstego mycia i używania rękawic ochronnych. Wykazuje działanie osłaniające, szybko się wchłania. Produkt zarejestrowany jako kosmetyk, posiada badania dermatologiczne. Zawiera witaminę E, glicerynę, oliwę z oliwek. Konfekcjonowany w opakowanie 500ml-butelka?</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15</w:t>
        <w:br/>
      </w:r>
      <w:r>
        <w:rPr>
          <w:rFonts w:eastAsia="Calibri" w:cs="Times New Roman" w:ascii="Times New Roman" w:hAnsi="Times New Roman"/>
          <w:b w:val="false"/>
          <w:bCs w:val="false"/>
          <w:i w:val="false"/>
          <w:iCs w:val="false"/>
          <w:sz w:val="22"/>
          <w:szCs w:val="22"/>
          <w:u w:val="none"/>
        </w:rPr>
        <w:t>Zgodnie z SWZ.</w:t>
      </w:r>
    </w:p>
    <w:p>
      <w:pPr>
        <w:pStyle w:val="Normal"/>
        <w:jc w:val="bot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8 dopuści koncentrat do mycia i dezynfekcji sprzętu medycznego oraz dużych powierzchni zmywalnych jak unity, łóżka, fotele zabiegowe, stoły operacyjne, aparatura medyczna. Posiadający wysoką tolerancję materiałową - nadaje się do dezynfekcji materiałów obiciowych oraz wyrobów ze szkła, tworzyw ABS, porcelany, gumy, stali szlachetnej oraz aluminium, niklu i chromu, również do szkła akrylowego.  Może być używany do dezynfekcji powierzchni mających kontakt z żywnością. Bez zawartości aldehydów i fenoli, nie odbarwiający dezynfekowanych powierzchni. Posiadający pozytywną opinię producenta sprzętu medycznego Famed w zakresie tolerancji materiałowej na tworzywo ABS i materiały obiciowe. Posiadający pozytywną opinię Centrum Zdrowia Dziecka. Skład: N-(3-aminopropylo)-N-dodecylopropano-1,3–diamina, poli(oksy-1,2-etanodilo),.alfa.-[2-(didecylmetyloamino)etylo]-.omega.-hydroksy-, propanian(sól), chlorek didecylodimetyloamonu. Spektrum i czas działania: B (w tym MRSA), F (C. albicans), Tbc (M. terrae i M. avium), V (Vaccinia, BVDV, HIV, HBV, HCV, Herpes simplex, wirus grypy, Ebola, SARS-Cov-2), Adeno - 0,5% w 15 min., Polio 0,5% w 30 min., B (w tym MRSA), F (C. albicans) - 0,25% w 15 min. w warunkach czystych. Preparat posiadający rejestrację jako produkt biobójczy oraz wyrób medyczny. Konfekcjonowany w opakowanie 1l?</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16</w:t>
        <w:br/>
      </w:r>
      <w:r>
        <w:rPr>
          <w:rFonts w:eastAsia="Calibri" w:cs="Times New Roman" w:ascii="Times New Roman" w:hAnsi="Times New Roman"/>
          <w:b w:val="false"/>
          <w:bCs w:val="false"/>
          <w:i w:val="false"/>
          <w:iCs w:val="false"/>
          <w:sz w:val="22"/>
          <w:szCs w:val="22"/>
          <w:u w:val="none"/>
        </w:rPr>
        <w:t>Zgodnie z SWZ.</w:t>
      </w:r>
    </w:p>
    <w:p>
      <w:pPr>
        <w:pStyle w:val="Normal"/>
        <w:jc w:val="bot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9 dopuści preparat w proszku do mycia i dezynfekcji instrumentów chirurgicznych, dentystycznych, endoskopów, sond chirurgicznych, rurek do respiratorów i innych urządzeń anestezjologicznych, inkubatorów oraz powierzchni wyrobów medycznych. Do dezynfekcji manualnej, w myjkach ultradźwiękowych, myjniach automatycznych oraz w myjkach do endoskopów. Nie wymagający użycia aktywatora. Zawierający w swoim składzie cztery enzymy odpowiedzialne za usuwanie zanieczyszczeń organicznych takich jak krew, białko, tłuszcze, wydzieliny (proteazę, lipazę, amylazę i mannazę), nadwęglan sodu, TAED, kwas adypinowy, inhibitory korozji. Zawierający surfaktanty zapobiegające pyleniu proszku. Spektrum i czas działania dla wysokiego obciążenia organicznego: B (w tym MRSA), F (C.albicans, A.brasiliensis), Tbc (M.terrae, M.avium), V (Polio, Adeno, Noro, HIV, HBV, HCV, Rota, SARS, wirus grypy, Herpes simplex, Ebola), C. difficile 2% w 10 minut, B. subtilis 0,5% w 30 minut. Każde opakowanie zawiera miarkę dozującą. Konfekcjonowany w opakowanie 1kg z odpowiednim przeliczeniem ilości opakowań wymaganych przez Zamawiającego?</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17</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10 dopuści gotową do użycia piankę do mycia i dezynfekcji delikatnych powierzchni wrażliwych na działanie alkoholi. Do stosowania na powierzchniach sprzętu medycznego ze szkła, porcelany, metalu, gumy, tworzyw sztucznych oraz szkła akrylowego a także do powierzchni mającej kontakt z żywnością. Skład: N-(3-aminopropylo)-N-dodecylopropano-1,3–diamina, poli(oksy-1,2-etanodilo),.alfa.-[2-(didecylmetyloamino)etylo]-.omega.-hydroksy-,propanian(sól). Spektrum i czas działania: B, MRSA, F, Tbc, V (HBV, HIV, HCV, BVDV, SARS-Cov-2, Vaccinia, Herpes simplex, Ebola) w 5 min. Konfekcjonowany w opakowanie 1L ze spryskiwaczem?</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18</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11 dopuści gotowy do użycia środek na bazie alkoholu, przeznaczony do szybkiej dezynfekcji i mycia powierzchni. Skład: etanol, 2-propanol. Łączna zawartość alkoholu do 70%. Bez zawartości dodatkowych substancji (aminy, QAV, aldehydu, fenolu). Polecany do dezynfekcji małych powierzchni: łóżek, foteli, aparatury medycznej, szafek, blatów oraz innych trudnodostępnych powierzchni. Zalecany do dezynfekcji mających kontakt z żywnością oraz końcówek stomatologicznych, wycisków silikonowych. Produkt posiadający pozytywną opinię producenta sprzętu medycznego Famed w zakresie tolerancji materiałowej na tworzywo ABS i materiały obiciowe. Posiadający pozytywną opinię CZD. Spektrum bójcze potwierdzone badaniami z obszaru medycznego: B (MRSA), F (C.albicans), Tbc (M.terrae), wirusy otoczkowe (HIV, HBV, HCV, HSV, Vaccinia, SARS-Cov-2, wirus grypy, Ebola), Rota, Noro w czasie od 30 sekund do 1 minuty. Dostępny w dwóch wersjach zapachowych: neutral i teatonic. Produkt o podwójnej rejestracji: wyrób medyczny oraz produkt biobójczy. Wyrób klasy IIA. Konfekcjonowany w opakowanie 1l ze spryskiwaczem?</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19</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12 dopuści chusteczki do mycia i dezynfekcji małych powierzchni i sprzętu medycznego, przeznaczone także do dezynfekcji powierzchni mających kontakt z żywnością. Skład: etanol, propan-2-ol, bez zawartości dodatkowych substancji aktywnych.  Zawartość alkoholu 70g/100 g produktu. Zalecane do dezynfekcji sprzętu medycznego: łózek, foteli zabiegowych, aparatury medycznej i operacyjnej oraz wszelkich powierzchni nierważliwych na działanie alkoholu. Spektrum działania zgodnie z EN 14885: B, MRSA, F (C.albicans), Tbc, V (HIV, HBV, HCV, HSV, rota, noro, BVDV) w czasie do 60 sekund przy wysokim obciążeniu organicznym. Aktywność po otwarciu do 21 dni. Chusteczki o wymiarach 13x20 cm, gramatura 23g/cm2. Produkt posiada badania dermatologiczne. Posidające podwójna rejestracja: wyrób medyczny oraz produkt biobójczy. Konfekcjonowane w opakowania po 100 szt-puszka, posiadające możliwość wymiany wkładów?</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20</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13 dopuści gotowe do użycia chusteczki do mycia i dezynfekcji delikatnych powierzchni wrażliwych na działanie alkoholi. Do dezynfekcji powierzchni sprzętu medycznego z tworzyw sztucznych, szkła akrylowego, stali szlachetnej, metalu, aluminium, gumy, porcelany. Do dezynfekcji aparatury medycznej, sprzętu rehabilitacyjnego, foteli zabiegowych, inkubatorów, głowic USG i lamp. Konfekcjonowane w opakowanie po 100szt-puszka, posiadające możliwość wymiany wkładów?</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21</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14 dopuści suche ściereczki przeznaczone do nasączania preparatem gotowym do użycia lub roztworem użytkowym koncentratu z wodą. Do mycia i dezynfekcji różnych powierzchni nieinwazyjnych wyrobów medycznych. Porowata struktura o gramaturze 55g/m2 +/- 2g/m2. Niepylące, niestrzępiące się, wytrzymałe i odporne na detergenty. Wymiary: 16 x 30cm. Perforacja ułatwiająca odrywanie. Chusteczki - Wyrób medyczny klasy 1. Skład: polipropylen (50%) i celuloza (50%). Każda z rolek posiada etykietę oraz naklejkę, na której jest miejsce na wpisanie: nazwy produktu nasączającego, stężenia, daty nasączenia, daty przydatności oraz osoby przygotowującej roztwór. Rolka zamknięta w wiaderku  z HDPE o wysokiej odporności na chemikalia, ze szczelnym zamknięciem. Wiaderko wielokrotnego użytku. Konfekcjonowane w opakowanie po 100szt-wiaderko, posiadające możliwość wymiany wkładów?</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22</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15 dopuści wkłady do Pakietu nr 2 poz nr 14, o wymiarze chusteczki 16x30cm, konfekcjonowane po 100szt?</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23</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 </w:t>
      </w:r>
      <w:r>
        <w:rPr>
          <w:rFonts w:cs="Calibri Light" w:ascii="Roboto" w:hAnsi="Roboto" w:cstheme="majorHAnsi"/>
          <w:sz w:val="20"/>
          <w:szCs w:val="20"/>
        </w:rPr>
        <w:t>Czy Zamawiający w Pakiecie nr 2 poz. nr 19 dopuści koncentrat do mycia i dezynfekcji narzędzi przeznaczony do jednoczesnego mycia i dezynfekcji manualnej oraz w myjkach ultradźwiękowych. Do dezynfekcji instrumentów chirurgicznych i rotacyjnych. Aktywność roztworu roboczego 14 dni. Skład: amina, czwartorzędowe związki amonowe, enzym - proteaza, inhibitor korozji. Spektrum i czas działania: B, F, V (HBV, HIV, HCV, Vaccinia, BVDV, Herpes simplex, wirus grypy A, B, C, Ebola, Adeno), Tbc - 0,5% w 15 min., Polio 0,5% w 30 min. Przebadany w fazie 2.1 i 2.2. Konfekcjonowany w opakowanie 5L?</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24</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20 dopuści gotowe do użycia chusteczki do mycia i dezynfekcji delikatnych powierzchni wrażliwych na działanie alkoholi. Do dezynfekcji powierzchni sprzętu medycznego z tworzyw sztucznych, szkła akrylowego, stali szlachetnej, metalu, aluminium, gumy, porcelany. Do dezynfekcji aparatury medycznej, sprzętu rehabilitacyjnego, foteli zabiegowych, inkubatorów, głowic USG i lamp. Skład: N-(3-aminopropylo)-N-dodecylopropano-1,3-diamina, poli(oksy-1,2-etanodilo),.alfa.-[2-(didecylmetyloamino)etylo]-omega.-hydroksy-,propanian(sól).  Rozmiar min. 13 x 20 cm. Wyrób klasy IIA. Chusteczki przebadane zgodnie z normą EN 16615. Konfekcjonowane w opakowanie po 100szt-puszka, posiadające możliwość wymiany wkładów?</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25</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2 poz. nr 21 dopuści gotowe do użycia chusteczki do mycia i dezynfekcji delikatnych powierzchni wrażliwych na działanie alkoholi. Do dezynfekcji powierzchni sprzętu medycznego z tworzyw sztucznych, szkła akrylowego, stali szlachetnej, metalu, aluminium, gumy, porcelany. Do dezynfekcji aparatury medycznej, sprzętu rehabilitacyjnego, foteli zabiegowych, inkubatorów, głowic USG i lamp. Skład: N-(3-aminopropylo)-N-dodecylopropano-1,3-diamina, poli(oksy-1,2-etanodilo),.alfa.-[2-(didecylmetyloamino)etylo]-omega.-hydroksy-,propanian(sól).  Rozmiar min. 13 x 20 cm. Chusteczki przebadane zgodnie z normą EN 16615. Konfekcjonowane w opakowanie po 100szt-puszka, posiadające możliwość wymiany wkładów?</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26</w:t>
        <w:br/>
      </w:r>
      <w:r>
        <w:rPr>
          <w:rFonts w:eastAsia="Calibri" w:cs="Times New Roman" w:ascii="Times New Roman" w:hAnsi="Times New Roman"/>
          <w:b w:val="false"/>
          <w:bCs w:val="false"/>
          <w:i w:val="false"/>
          <w:iCs w:val="false"/>
          <w:sz w:val="22"/>
          <w:szCs w:val="22"/>
          <w:u w:val="none"/>
        </w:rPr>
        <w:t>Zgodnie z SWZ.</w:t>
      </w:r>
    </w:p>
    <w:p>
      <w:pPr>
        <w:pStyle w:val="Normal"/>
        <w:jc w:val="bot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Prosimy o wydzielenie z Pakietu nr 2 z pozycji nr 1-15 i 19-21 i utworzenie odrębnego pakietu na podstawie art. 91 ust. 1 ustawy z dnia 11 września 2019 r Prawo Zamówień Publicznych (dalej ustawa „ustawy PZP”). Powyższa zmiana umożliwi złożenie oferty większej ilości Wykonawców a Zamawiającemu wybranie oferty najbardziej korzystnej cenowo.</w:t>
      </w:r>
    </w:p>
    <w:p>
      <w:pPr>
        <w:pStyle w:val="Akapitzlist"/>
        <w:numPr>
          <w:ilvl w:val="0"/>
          <w:numId w:val="0"/>
        </w:numPr>
        <w:spacing w:lineRule="auto" w:line="276" w:before="0" w:after="120"/>
        <w:ind w:left="1440" w:right="0" w:hanging="0"/>
        <w:jc w:val="left"/>
        <w:rPr/>
      </w:pPr>
      <w:r>
        <w:rPr>
          <w:rFonts w:eastAsia="Calibri" w:cs="Times New Roman" w:ascii="Times New Roman" w:hAnsi="Times New Roman"/>
          <w:b/>
          <w:bCs/>
          <w:i w:val="false"/>
          <w:iCs w:val="false"/>
          <w:sz w:val="22"/>
          <w:szCs w:val="22"/>
          <w:u w:val="single"/>
        </w:rPr>
        <w:t>Odpowiedź nr 27</w:t>
        <w:br/>
      </w:r>
      <w:r>
        <w:rPr>
          <w:rFonts w:eastAsia="Calibri" w:cs="Times New Roman" w:ascii="Times New Roman" w:hAnsi="Times New Roman"/>
          <w:b w:val="false"/>
          <w:bCs w:val="false"/>
          <w:i w:val="false"/>
          <w:iCs w:val="false"/>
          <w:sz w:val="22"/>
          <w:szCs w:val="22"/>
          <w:u w:val="none"/>
        </w:rPr>
        <w:t>Nie, Zamawiający nie wydzieli.</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ind w:left="360" w:hanging="0"/>
        <w:jc w:val="both"/>
        <w:rPr/>
      </w:pPr>
      <w:r>
        <w:rPr>
          <w:rFonts w:cs="Calibri Light" w:ascii="Roboto" w:hAnsi="Roboto" w:cstheme="majorHAnsi"/>
          <w:sz w:val="20"/>
          <w:szCs w:val="20"/>
        </w:rPr>
        <w:t>Zgodnie z zasadą konkurencyjności, jeżeli Zamawiający nie zdecyduje się na podział zamówienia na części, to jest zobligowany do wskazania w dokumentach zamówienia powodów niedokonania podziału na części konkretnego zamówienia.</w:t>
      </w:r>
    </w:p>
    <w:p>
      <w:pPr>
        <w:pStyle w:val="ListParagraph"/>
        <w:ind w:left="360" w:hanging="0"/>
        <w:jc w:val="both"/>
        <w:rPr>
          <w:rFonts w:ascii="Roboto" w:hAnsi="Roboto" w:cs="Calibri Light" w:cstheme="majorHAnsi"/>
          <w:sz w:val="20"/>
          <w:szCs w:val="20"/>
        </w:rPr>
      </w:pPr>
      <w:r>
        <w:rPr>
          <w:rFonts w:cs="Calibri Light" w:cstheme="majorHAnsi" w:ascii="Roboto" w:hAnsi="Roboto"/>
          <w:sz w:val="20"/>
          <w:szCs w:val="20"/>
        </w:rPr>
      </w:r>
    </w:p>
    <w:p>
      <w:pPr>
        <w:pStyle w:val="ListParagraph"/>
        <w:ind w:left="360" w:hanging="0"/>
        <w:jc w:val="both"/>
        <w:rPr/>
      </w:pPr>
      <w:r>
        <w:rPr>
          <w:rFonts w:cs="Calibri Light" w:ascii="Roboto" w:hAnsi="Roboto" w:cstheme="majorHAnsi"/>
          <w:sz w:val="20"/>
          <w:szCs w:val="20"/>
        </w:rPr>
        <w:t xml:space="preserve">Opisane wyżej uprawnienie Zamawiającego do podziału zamówienia na odrębne pakiety w określonych okolicznościach staje się w określonych okolicznościach obowiązkiem.  </w:t>
      </w:r>
    </w:p>
    <w:p>
      <w:pPr>
        <w:pStyle w:val="ListParagraph"/>
        <w:jc w:val="both"/>
        <w:rPr/>
      </w:pPr>
      <w:r>
        <w:rPr>
          <w:rFonts w:cs="Calibri Light" w:ascii="Roboto" w:hAnsi="Roboto" w:cstheme="majorHAnsi"/>
          <w:sz w:val="20"/>
          <w:szCs w:val="20"/>
        </w:rPr>
        <w:t>W ocenie Wykonawcy w przedmiotowym przypadku, Zamawiający ma obowiązek podziału zamówienia na odrębne pakiety.</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W świetle opinii Urzędu Zamówień Publicznych „Decyzja co do podziału zamówienia na określoną ilość części należy do zamawiającego. Zamawiający podejmuje ją w zależności od swoich potrzeb, jednakże jego swoboda jest ograniczona zasadą zachowania uczciwej konkurencji. (…) Prawidłowość postępowania zamawiającego, który nie dokonał podziału zamówienia na tyle części, na ile jest to potencjalnie możliwe, oceniana musi być każdorazowo przy uwzględnieniu całokształtu okoliczności sprawy.” (https://www.uzp.gov.pl/baza-wiedzy/interpretacja-przepisow/pytania-i-odpowiedzi--dotyczace-nowelizacji-ustawy-prawo-zamowien-publicznych/podzial-zamowienia-na-czesci).</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Dodatkowo, zgodnie z motywem 78 preambuły Dyrektywa Parlamentu Europejskiego i Rady 2014/24/UE z dnia 26 lutego 2014 r. w sprawie zamówień publicznych, (dalej zwanej jako „Dyrektywa”) zamówienia publiczne powinny być dostosowane do potrzeb MŚP. Instytucje zamawiające należy zachęcać do korzystania z kodeksu najlepszych praktyk określonego w dokumencie roboczym służb Komisji z dnia 25 czerwca 2008 r. zatytułowanym „Europejski kodeks najlepszych praktyk ułatwiających dostęp MŚP do zamówień publicznych”, zawierającego wytyczne mówiące o tym, w jaki sposób instytucje te mogą stosować ramy zamówień publicznych, aby ułatwić udział MŚP. W tym celu oraz aby zwiększyć konkurencję, instytucje zamawiające należy w szczególności zachęcać do dzielenia dużych zamówień na części.</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Podziału takiego można dokonać na zasadzie ilościowej, tak by wielkość poszczególnych zamówień lepiej odpowiadała możliwościom MŚP, lub na zasadzie jakościowej, z uwzględnieniem rożnych zaangażowanych branż i specjalizacji, tak by w większym stopniu dostosować treść poszczególnych zamówień do wyspecjalizowanych sektorów MŚP, lub według rożnych kolejnych etapów projektu.</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W świetle art. 42 ust. 2 Dyrektywy  „Specyfikacje techniczne zapewniają równy dostęp wykonawców do postępowania o udzielenie zamówienia i nie tworzą nieuzasadnionych przeszkód dla otwarcia zamówienia publicznego na konkurencję.”</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 xml:space="preserve">W celu wzmocnienia przedstawionej argumentacji warto przywołać tutaj wyrok Krajowej Izby Odwoławczej, o sygnaturze KIO 967/18 z dnia 1 czerwca 2018 r.  „Naruszeniem zasady uczciwej konkurencji jest nie tylko opis przedmiotu zamówienia wskazujący na jeden konkretny produkt lub wykonawcę, ale także taki opis, który umożliwia dostęp do zamówienia kilku wykonawcom, jednocześnie uniemożliwiając go w sposób nieuzasadniony innym, którzy również byliby </w:t>
        <w:br/>
        <w:t xml:space="preserve">w stanie wykonać dane zamówienie. Oznacza to, że w przypadku oceny konkretnego stanu faktycznego jako naruszenia zakazu sformułowanego w art. 29 ust. 2 p.z.p. wystarczające jest uprawdopodobnienie utrudnienia konkurencji przy opisie przedmiotu zamówienia. Sporządzony przez zamawiającego opis przedmiotu zamówienia powinien tym samym w maksymalnym stopniu zapewniać zachowanie zasad uczciwej konkurencji i równego dostępu do zamówienia, wyrażonych w art. 7 ust. 1 p.z.p., rozszerzonych w art. 29 ust. 2 Pzp </w:t>
        <w:br/>
        <w:t xml:space="preserve">o zakaz opisywania przedmiotu zamówienia w sposób, który mógłby utrudniać uczciwą konkurencję. Do stwierdzenia faktu nieprawidłowości w opisie przedmiotu zamówienia wystarczające jest jedynie zaistnienie możliwości utrudniania uczciwej konkurencji przez zastosowanie określonych postanowień </w:t>
      </w:r>
    </w:p>
    <w:p>
      <w:pPr>
        <w:pStyle w:val="ListParagraph"/>
        <w:jc w:val="both"/>
        <w:rPr/>
      </w:pPr>
      <w:r>
        <w:rPr>
          <w:rFonts w:cs="Calibri Light" w:ascii="Roboto" w:hAnsi="Roboto" w:cstheme="majorHAnsi"/>
          <w:sz w:val="20"/>
          <w:szCs w:val="20"/>
        </w:rPr>
        <w:t>w specyfikacji, niekoniecznie zaś realnego uniemożliwienia takiej konkurencji.”</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Zatem, nie ulega wątpliwości, że wskazanie w dokumentacji przetargowej konkretnego produktu stanowi naruszenie zasady uczciwej konkurencji.</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Zgodnie z Uchwałą z dnia 13 maja 2016 r., o sygnaturze KIO/KD 32/16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rygorystycznych wymagań co do parametrów technicznych, które nie są uzasadnione obiektywnymi potrzebami zamawiającego i które uniemożliwiają niektórym wykonawcom udział w postępowaniu, ograniczając w ten sposób krąg podmiotów zdolnych do wykonania zamówienia. Opisu przedmiotu zamówienia należy dokonywać z najwyższą starannością. Zamawiający decydując się na wyartykułowanie określonych cech zamawianych dóbr winien po pierwsze, znajdować uzasadnienie dla ich określenia w konkretnym kształcie, po drugie, zamawiający winien mieć pewność, że prowadzone postępowanie nie zaburza konkurencji na rynku. Nie chodzi bowiem jedynie o pozorne zagwarantowanie realizacji zasady uczciwej konkurencji.”</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Mając na uwadze powyższe, wzywam Zamawiającego do przestrzegania ustawy PZP i dokonania zmiany dokumentacji przetargowej poprzez dopuszczenie produktów z Pakietu nr 2 z pozycji nr 1-15 i 19-21  i utworzenie odrębnego pakietu.</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3 poz. nr 6 dopuści preparat w proszku do mycia i dezynfekcji instrumentów chirurgicznych, dentystycznych, endoskopów, sond chirurgicznych, rurek do respiratorów i innych urządzeń anestezjologicznych, inkubatorów oraz powierzchni wyrobów medycznych. Do dezynfekcji manualnej, w myjkach ultradźwiękowych, myjniach automatycznych oraz w myjkach do endoskopów. Nie wymagający użycia aktywatora. Spektrum i czas działania dla wysokiego obciążenia organicznego: B (w tym MRSA), F (C.albicans, A.brasiliensis), Tbc (M.terrae, M.avium), V (Polio, Adeno, Noro, HIV, HBV, HCV, Rota, SARS, wirus grypy, Herpes simplex, Ebola), C. difficile 2% w 10 minut, B. subtilis 0,5% w 30 minut... Każde opakowanie zawiera miarkę dozującą. Konfekcjonowany w opakowanie 1kg z odpowiednim przeliczeniem ilości opakowań wymaganych przez Zamawiającego?</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28</w:t>
        <w:br/>
      </w:r>
      <w:r>
        <w:rPr>
          <w:rFonts w:eastAsia="Calibri" w:cs="Times New Roman" w:ascii="Times New Roman" w:hAnsi="Times New Roman"/>
          <w:b w:val="false"/>
          <w:bCs w:val="false"/>
          <w:i w:val="false"/>
          <w:iCs w:val="false"/>
          <w:sz w:val="22"/>
          <w:szCs w:val="22"/>
          <w:u w:val="none"/>
        </w:rPr>
        <w:t>Zgodnie z SWZ.</w:t>
      </w:r>
    </w:p>
    <w:p>
      <w:pPr>
        <w:pStyle w:val="Normal"/>
        <w:jc w:val="bot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3 poz. nr 7 dopuści koncentrat do mycia i dezynfekcji sprzętu medycznego oraz dużych powierzchni zmywalnych jak unity, łóżka, fotele zabiegowe, stoły operacyjne, aparatura medyczna. Posiadający wysoką tolerancję materiałową - nadaje się do dezynfekcji materiałów obiciowych oraz wyrobów ze szkła, tworzyw ABS, porcelany, gumy, stali szlachetnej oraz aluminium, niklu i chromu, również do szkła akrylowego.  Może być używany do dezynfekcji powierzchni mających kontakt z żywnością. Bez zawartości aldehydów i fenoli, nie odbarwiający dezynfekowanych powierzchni. Skład: N-(3-aminopropylo)-N-dodecylopropano-1,3–diamina, poli(oksy-1,2-etanodilo),.alfa.-[2-(didecylmetyloamino)etylo]-.omega.-hydroksy-, propanian(sól), chlorek didecylodimetyloamonu. Konfekcjonowany w opakowanie 5L z odpowiednim przeliczeniem ilości opakowań?</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29</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3 poz. nr 8 dopuści suche ściereczki przeznaczone do nasączania preparatem gotowym do użycia lub roztworem użytkowym koncentratu z wodą. Do mycia i dezynfekcji różnych powierzchni nieinwazyjnych wyrobów medycznych. Porowata struktura o gramaturze 55g/m2 +/- 2g/m2. Niepylące, niestrzępiące się, wytrzymałe i odporne na detergenty. Wymiary: 16 x 30cm. Konfekcjonowane w opakowanie po 100szt-wiaderko, posiadające możliwość wymiany wkładów?</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30</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Czy Zamawiający w Pakiecie nr 3 poz. nr 11 dopuści płyn do higienicznej i chirurgicznej dezynfekcji rąk zawierający w 100 g: 63,7 g etanolu i 6,3 g propan-2-olu. Spektrum bójcze: B (w tym MRSA), F (C.albicans), Tbc (M.terrae), V (Vaccinia, HIV, HBV, HCV, SARS-Cov-2, BVDV, rota noro) - do 60 sekund. Dezynfkecja higieniczna wg. EN 1500: 2x3ml w czasie 2x15 sekund. Dezynfekcja chirugiczna wg EN 12791: 2 x 3 ml przez 2 x 90 sekund. Konfekcjonowany w opakowanie 500 ml?</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31</w:t>
        <w:br/>
      </w:r>
      <w:r>
        <w:rPr>
          <w:rFonts w:eastAsia="Calibri" w:cs="Times New Roman" w:ascii="Times New Roman" w:hAnsi="Times New Roman"/>
          <w:b w:val="false"/>
          <w:bCs w:val="false"/>
          <w:i w:val="false"/>
          <w:iCs w:val="false"/>
          <w:sz w:val="22"/>
          <w:szCs w:val="22"/>
          <w:u w:val="none"/>
        </w:rPr>
        <w:t>Zgodnie z SWZ.</w:t>
      </w:r>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numPr>
          <w:ilvl w:val="0"/>
          <w:numId w:val="1"/>
        </w:numPr>
        <w:jc w:val="both"/>
        <w:rPr/>
      </w:pPr>
      <w:r>
        <w:rPr>
          <w:rFonts w:cs="Calibri Light" w:ascii="Roboto" w:hAnsi="Roboto" w:cstheme="majorHAnsi"/>
          <w:sz w:val="20"/>
          <w:szCs w:val="20"/>
        </w:rPr>
        <w:t>Prosimy o wydzielenie z Pakietu nr 3 z pozycji nr 6,7,8,11 i utworzenie odrębnego pakietu na podstawie art. 91 ust. 1 ustawy z dnia 11 września 2019 r Prawo Zamówień Publicznych (dalej ustawa „ustawy PZP”). Powyższa zmiana umożliwi złożenie oferty większej ilości Wykonawców a Zamawiającemu wybranie oferty najbardziej korzystnej cenowo.</w:t>
      </w:r>
    </w:p>
    <w:p>
      <w:pPr>
        <w:pStyle w:val="Akapitzlist"/>
        <w:numPr>
          <w:ilvl w:val="0"/>
          <w:numId w:val="0"/>
        </w:numPr>
        <w:spacing w:lineRule="auto" w:line="276" w:before="0" w:after="120"/>
        <w:ind w:left="1440" w:right="0" w:hanging="0"/>
        <w:jc w:val="left"/>
        <w:rPr>
          <w:rFonts w:ascii="Roboto" w:hAnsi="Roboto" w:cs="Calibri Light" w:cstheme="majorHAnsi"/>
          <w:sz w:val="20"/>
          <w:szCs w:val="20"/>
        </w:rPr>
      </w:pPr>
      <w:r>
        <w:rPr>
          <w:rFonts w:eastAsia="Calibri" w:cs="Times New Roman" w:ascii="Times New Roman" w:hAnsi="Times New Roman"/>
          <w:b/>
          <w:bCs/>
          <w:i w:val="false"/>
          <w:iCs w:val="false"/>
          <w:sz w:val="22"/>
          <w:szCs w:val="22"/>
          <w:u w:val="single"/>
        </w:rPr>
        <w:t>Odpowiedź nr 32</w:t>
        <w:br/>
      </w:r>
      <w:bookmarkStart w:id="0" w:name="__DdeLink__152_598759368"/>
      <w:r>
        <w:rPr>
          <w:rFonts w:eastAsia="Calibri" w:cs="Times New Roman" w:ascii="Times New Roman" w:hAnsi="Times New Roman"/>
          <w:b w:val="false"/>
          <w:bCs w:val="false"/>
          <w:i w:val="false"/>
          <w:iCs w:val="false"/>
          <w:sz w:val="22"/>
          <w:szCs w:val="22"/>
          <w:u w:val="none"/>
        </w:rPr>
        <w:t>Nie, Zamawiający nie wydzieli.</w:t>
      </w:r>
      <w:bookmarkEnd w:id="0"/>
    </w:p>
    <w:p>
      <w:pPr>
        <w:pStyle w:val="ListParagraph"/>
        <w:rPr>
          <w:rFonts w:ascii="Roboto" w:hAnsi="Roboto" w:cs="Calibri Light" w:cstheme="majorHAnsi"/>
          <w:sz w:val="20"/>
          <w:szCs w:val="20"/>
        </w:rPr>
      </w:pPr>
      <w:r>
        <w:rPr>
          <w:rFonts w:cs="Calibri Light" w:cstheme="majorHAnsi" w:ascii="Roboto" w:hAnsi="Roboto"/>
          <w:sz w:val="20"/>
          <w:szCs w:val="20"/>
        </w:rPr>
      </w:r>
    </w:p>
    <w:p>
      <w:pPr>
        <w:pStyle w:val="ListParagraph"/>
        <w:ind w:left="360" w:hanging="0"/>
        <w:jc w:val="both"/>
        <w:rPr/>
      </w:pPr>
      <w:r>
        <w:rPr>
          <w:rFonts w:cs="Calibri Light" w:ascii="Roboto" w:hAnsi="Roboto" w:cstheme="majorHAnsi"/>
          <w:sz w:val="20"/>
          <w:szCs w:val="20"/>
        </w:rPr>
        <w:t>Zgodnie z zasadą konkurencyjności, jeżeli Zamawiający nie zdecyduje się na podział zamówienia na części, to jest zobligowany do wskazania w dokumentach zamówienia powodów niedokonania podziału na części konkretnego zamówienia.</w:t>
      </w:r>
    </w:p>
    <w:p>
      <w:pPr>
        <w:pStyle w:val="ListParagraph"/>
        <w:ind w:left="360" w:hanging="0"/>
        <w:jc w:val="both"/>
        <w:rPr>
          <w:rFonts w:ascii="Roboto" w:hAnsi="Roboto" w:cs="Calibri Light" w:cstheme="majorHAnsi"/>
          <w:sz w:val="20"/>
          <w:szCs w:val="20"/>
        </w:rPr>
      </w:pPr>
      <w:r>
        <w:rPr>
          <w:rFonts w:cs="Calibri Light" w:cstheme="majorHAnsi" w:ascii="Roboto" w:hAnsi="Roboto"/>
          <w:sz w:val="20"/>
          <w:szCs w:val="20"/>
        </w:rPr>
      </w:r>
    </w:p>
    <w:p>
      <w:pPr>
        <w:pStyle w:val="ListParagraph"/>
        <w:ind w:left="360" w:hanging="0"/>
        <w:jc w:val="both"/>
        <w:rPr/>
      </w:pPr>
      <w:r>
        <w:rPr>
          <w:rFonts w:cs="Calibri Light" w:ascii="Roboto" w:hAnsi="Roboto" w:cstheme="majorHAnsi"/>
          <w:sz w:val="20"/>
          <w:szCs w:val="20"/>
        </w:rPr>
        <w:t xml:space="preserve">Opisane wyżej uprawnienie Zamawiającego do podziału zamówienia na odrębne pakiety w określonych okolicznościach staje się w określonych okolicznościach obowiązkiem.  </w:t>
      </w:r>
    </w:p>
    <w:p>
      <w:pPr>
        <w:pStyle w:val="ListParagraph"/>
        <w:jc w:val="both"/>
        <w:rPr/>
      </w:pPr>
      <w:r>
        <w:rPr>
          <w:rFonts w:cs="Calibri Light" w:ascii="Roboto" w:hAnsi="Roboto" w:cstheme="majorHAnsi"/>
          <w:sz w:val="20"/>
          <w:szCs w:val="20"/>
        </w:rPr>
        <w:t>W ocenie Wykonawcy w przedmiotowym przypadku, Zamawiający ma obowiązek podziału zamówienia na odrębne pakiety.</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W świetle opinii Urzędu Zamówień Publicznych „Decyzja co do podziału zamówienia na określoną ilość części należy do zamawiającego. Zamawiający podejmuje ją w zależności od swoich potrzeb, jednakże jego swoboda jest ograniczona zasadą zachowania uczciwej konkurencji. (…) Prawidłowość postępowania zamawiającego, który nie dokonał podziału zamówienia na tyle części, na ile jest to potencjalnie możliwe, oceniana musi być każdorazowo przy uwzględnieniu całokształtu okoliczności sprawy.” (https://www.uzp.gov.pl/baza-wiedzy/interpretacja-przepisow/pytania-i-odpowiedzi--dotyczace-nowelizacji-ustawy-prawo-zamowien-publicznych/podzial-zamowienia-na-czesci).</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Dodatkowo, zgodnie z motywem 78 preambuły Dyrektywa Parlamentu Europejskiego i Rady 2014/24/UE z dnia 26 lutego 2014 r. w sprawie zamówień publicznych, (dalej zwanej jako „Dyrektywa”) zamówienia publiczne powinny być dostosowane do potrzeb MŚP. Instytucje zamawiające należy zachęcać do korzystania z kodeksu najlepszych praktyk określonego w dokumencie roboczym służb Komisji z dnia 25 czerwca 2008 r. zatytułowanym „Europejski kodeks najlepszych praktyk ułatwiających dostęp MŚP do zamówień publicznych”, zawierającego wytyczne mówiące o tym, w jaki sposób instytucje te mogą stosować ramy zamówień publicznych, aby ułatwić udział MŚP. W tym celu oraz aby zwiększyć konkurencję, instytucje zamawiające należy w szczególności zachęcać do dzielenia dużych zamówień na części.</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Podziału takiego można dokonać na zasadzie ilościowej, tak by wielkość poszczególnych zamówień lepiej odpowiadała możliwościom MŚP, lub na zasadzie jakościowej, z uwzględnieniem rożnych zaangażowanych branż i specjalizacji, tak by w większym stopniu dostosować treść poszczególnych zamówień do wyspecjalizowanych sektorów MŚP, lub według rożnych kolejnych etapów projektu.</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W świetle art. 42 ust. 2 Dyrektywy  „Specyfikacje techniczne zapewniają równy dostęp wykonawców do postępowania o udzielenie zamówienia i nie tworzą nieuzasadnionych przeszkód dla otwarcia zamówienia publicznego na konkurencję.”</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 xml:space="preserve">W celu wzmocnienia przedstawionej argumentacji warto przywołać tutaj wyrok Krajowej Izby Odwoławczej, o sygnaturze KIO 967/18 z dnia 1 czerwca 2018 r.  „Naruszeniem zasady uczciwej konkurencji jest nie tylko opis przedmiotu zamówienia wskazujący na jeden konkretny produkt lub wykonawcę, ale także taki opis, który umożliwia dostęp do zamówienia kilku wykonawcom, jednocześnie uniemożliwiając go w sposób nieuzasadniony innym, którzy również byliby </w:t>
        <w:br/>
        <w:t xml:space="preserve">w stanie wykonać dane zamówienie. Oznacza to, że w przypadku oceny konkretnego stanu faktycznego jako naruszenia zakazu sformułowanego w art. 29 ust. 2 p.z.p. wystarczające jest uprawdopodobnienie utrudnienia konkurencji przy opisie przedmiotu zamówienia. Sporządzony przez zamawiającego opis przedmiotu zamówienia powinien tym samym w maksymalnym stopniu zapewniać zachowanie zasad uczciwej konkurencji i równego dostępu do zamówienia, wyrażonych w art. 7 ust. 1 p.z.p., rozszerzonych w art. 29 ust. 2 Pzp </w:t>
        <w:br/>
        <w:t xml:space="preserve">o zakaz opisywania przedmiotu zamówienia w sposób, który mógłby utrudniać uczciwą konkurencję. Do stwierdzenia faktu nieprawidłowości w opisie przedmiotu zamówienia wystarczające jest jedynie zaistnienie możliwości utrudniania uczciwej konkurencji przez zastosowanie określonych postanowień </w:t>
      </w:r>
    </w:p>
    <w:p>
      <w:pPr>
        <w:pStyle w:val="ListParagraph"/>
        <w:jc w:val="both"/>
        <w:rPr/>
      </w:pPr>
      <w:r>
        <w:rPr>
          <w:rFonts w:cs="Calibri Light" w:ascii="Roboto" w:hAnsi="Roboto" w:cstheme="majorHAnsi"/>
          <w:sz w:val="20"/>
          <w:szCs w:val="20"/>
        </w:rPr>
        <w:t>w specyfikacji, niekoniecznie zaś realnego uniemożliwienia takiej konkurencji.”</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Zatem, nie ulega wątpliwości, że wskazanie w dokumentacji przetargowej konkretnego produktu stanowi naruszenie zasady uczciwej konkurencji.</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cs="Calibri Light" w:ascii="Roboto" w:hAnsi="Roboto" w:cstheme="majorHAnsi"/>
          <w:sz w:val="20"/>
          <w:szCs w:val="20"/>
        </w:rPr>
        <w:t>Zgodnie z Uchwałą z dnia 13 maja 2016 r., o sygnaturze KIO/KD 32/16  „Przejawem naruszenia zasady uczciwej konkurencji jest nie tylko opisanie przedmiotu zamówienia z użyciem oznaczeń wskazujących na konkretnego producenta lub konkretny produkt albo z użyciem parametrów wskazujących na konkretnego producenta, dostawcę albo konkretny wyrób, ale także określenie rygorystycznych wymagań co do parametrów technicznych, które nie są uzasadnione obiektywnymi potrzebami zamawiającego i które uniemożliwiają niektórym wykonawcom udział w postępowaniu, ograniczając w ten sposób krąg podmiotów zdolnych do wykonania zamówienia. Opisu przedmiotu zamówienia należy dokonywać z najwyższą starannością. Zamawiający decydując się na wyartykułowanie określonych cech zamawianych dóbr winien po pierwsze, znajdować uzasadnienie dla ich określenia w konkretnym kształcie, po drugie, zamawiający winien mieć pewność, że prowadzone postępowanie nie zaburza konkurencji na rynku. Nie chodzi bowiem jedynie o pozorne zagwarantowanie realizacji zasady uczciwej konkurencji.”</w:t>
      </w:r>
    </w:p>
    <w:p>
      <w:pPr>
        <w:pStyle w:val="ListParagraph"/>
        <w:jc w:val="both"/>
        <w:rPr>
          <w:rFonts w:ascii="Roboto" w:hAnsi="Roboto" w:cs="Calibri Light" w:cstheme="majorHAnsi"/>
          <w:sz w:val="20"/>
          <w:szCs w:val="20"/>
        </w:rPr>
      </w:pPr>
      <w:r>
        <w:rPr>
          <w:rFonts w:cs="Calibri Light" w:cstheme="majorHAnsi" w:ascii="Roboto" w:hAnsi="Roboto"/>
          <w:sz w:val="20"/>
          <w:szCs w:val="20"/>
        </w:rPr>
      </w:r>
    </w:p>
    <w:p>
      <w:pPr>
        <w:pStyle w:val="ListParagraph"/>
        <w:jc w:val="both"/>
        <w:rPr/>
      </w:pPr>
      <w:r>
        <w:rPr>
          <w:rFonts w:eastAsia="Calibri" w:cs="Calibri Light" w:ascii="Roboto" w:hAnsi="Roboto" w:cstheme="majorHAnsi"/>
          <w:b w:val="false"/>
          <w:bCs w:val="false"/>
          <w:i w:val="false"/>
          <w:iCs w:val="false"/>
          <w:strike w:val="false"/>
          <w:dstrike w:val="false"/>
          <w:sz w:val="20"/>
          <w:szCs w:val="20"/>
          <w:u w:val="none"/>
          <w:lang w:val="pl-PL"/>
        </w:rPr>
        <w:t>Mając na uwadze powyższe, wzywam Zamawiającego do przestrzegania ustawy PZP i dokonania zmiany dokumentacji przetargowej poprzez dopuszczenie produktów z Pakietu nr 3 z pozycji nr 6,7,8,11 i utworzenie odrębnego pakietu.</w:t>
      </w:r>
    </w:p>
    <w:p>
      <w:pPr>
        <w:pStyle w:val="Akapitzlist"/>
        <w:spacing w:lineRule="auto" w:line="276" w:before="0" w:after="120"/>
        <w:ind w:left="720" w:right="0" w:hanging="0"/>
        <w:jc w:val="left"/>
        <w:rPr>
          <w:rFonts w:ascii="Times New Roman" w:hAnsi="Times New Roman" w:eastAsia="Calibri" w:cs="Times New Roman"/>
          <w:b w:val="false"/>
          <w:b w:val="false"/>
          <w:bCs w:val="false"/>
          <w:i w:val="false"/>
          <w:i w:val="false"/>
          <w:iCs w:val="false"/>
          <w:sz w:val="22"/>
          <w:szCs w:val="22"/>
          <w:u w:val="none"/>
        </w:rPr>
      </w:pPr>
      <w:r>
        <w:rPr>
          <w:rFonts w:eastAsia="Calibri" w:cs="Times New Roman" w:ascii="Times New Roman" w:hAnsi="Times New Roman"/>
          <w:b w:val="false"/>
          <w:bCs w:val="false"/>
          <w:i w:val="false"/>
          <w:iCs w:val="false"/>
          <w:sz w:val="22"/>
          <w:szCs w:val="22"/>
          <w:u w:val="none"/>
        </w:rPr>
      </w:r>
    </w:p>
    <w:p>
      <w:pPr>
        <w:pStyle w:val="Normal"/>
        <w:rPr/>
      </w:pPr>
      <w:r>
        <w:rPr/>
        <w:t>pytanie do przetargu pakiet 3 pozycja 1:</w:t>
      </w:r>
    </w:p>
    <w:p>
      <w:pPr>
        <w:pStyle w:val="Tretekstu"/>
        <w:numPr>
          <w:ilvl w:val="0"/>
          <w:numId w:val="2"/>
        </w:numPr>
        <w:tabs>
          <w:tab w:val="clear" w:pos="709"/>
          <w:tab w:val="left" w:pos="0" w:leader="none"/>
        </w:tabs>
        <w:spacing w:before="0" w:after="140"/>
        <w:ind w:left="720" w:hanging="360"/>
        <w:rPr/>
      </w:pPr>
      <w:r>
        <w:rPr/>
        <w:t xml:space="preserve">Czy zamawiający dopuści złożenie w tej pozycji oferty na lek Betadine o stężeniu 10% według </w:t>
      </w:r>
      <w:r>
        <w:rPr>
          <w:color w:val="000000"/>
        </w:rPr>
        <w:t>CHPL i Ulotki jak w załączeniu?</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rFonts w:ascii="Times New Roman" w:hAnsi="Times New Roman" w:eastAsia="Calibri" w:cs="Times New Roman"/>
          <w:b/>
          <w:b/>
          <w:bCs/>
          <w:i w:val="false"/>
          <w:i w:val="false"/>
          <w:iCs w:val="false"/>
          <w:color w:val="000000"/>
          <w:sz w:val="22"/>
          <w:szCs w:val="22"/>
          <w:u w:val="single"/>
        </w:rPr>
      </w:pPr>
      <w:r>
        <w:rPr>
          <w:rFonts w:eastAsia="Calibri" w:cs="Times New Roman" w:ascii="Times New Roman" w:hAnsi="Times New Roman"/>
          <w:b w:val="false"/>
          <w:bCs w:val="false"/>
          <w:i w:val="false"/>
          <w:iCs w:val="false"/>
          <w:color w:val="000000"/>
          <w:sz w:val="22"/>
          <w:szCs w:val="22"/>
          <w:u w:val="none"/>
        </w:rPr>
        <w:t>Zgodnie z SWZ.</w:t>
      </w:r>
    </w:p>
    <w:p>
      <w:pPr>
        <w:pStyle w:val="Tretekstu"/>
        <w:numPr>
          <w:ilvl w:val="0"/>
          <w:numId w:val="2"/>
        </w:numPr>
        <w:tabs>
          <w:tab w:val="clear" w:pos="709"/>
          <w:tab w:val="left" w:pos="0" w:leader="none"/>
        </w:tabs>
        <w:spacing w:before="0" w:after="140"/>
        <w:ind w:left="720" w:hanging="360"/>
        <w:rPr>
          <w:color w:val="000000"/>
        </w:rPr>
      </w:pPr>
      <w:r>
        <w:rPr>
          <w:rFonts w:eastAsia="Calibri" w:cs="Times New Roman" w:ascii="Times New Roman" w:hAnsi="Times New Roman"/>
          <w:b w:val="false"/>
          <w:bCs w:val="false"/>
          <w:i w:val="false"/>
          <w:iCs w:val="false"/>
          <w:color w:val="000000"/>
          <w:sz w:val="22"/>
          <w:szCs w:val="22"/>
          <w:u w:val="none"/>
        </w:rPr>
        <w:t xml:space="preserve">Czy jeśli odpowiedź na powyższe będzie pozytywna Zamawiający w celu uzyskania korzystnej cenowo oferty wydzieli z pakietu 3 pozycję 1? </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val="false"/>
          <w:bCs w:val="false"/>
          <w:i w:val="false"/>
          <w:iCs w:val="false"/>
          <w:color w:val="000000"/>
          <w:sz w:val="22"/>
          <w:szCs w:val="22"/>
          <w:u w:val="none"/>
        </w:rPr>
        <w:t>Nie, Zamawiający nie wydzieli.</w:t>
      </w:r>
    </w:p>
    <w:p>
      <w:pPr>
        <w:pStyle w:val="Normal"/>
        <w:numPr>
          <w:ilvl w:val="0"/>
          <w:numId w:val="0"/>
        </w:numPr>
        <w:ind w:left="720" w:hanging="0"/>
        <w:rPr/>
      </w:pPr>
      <w:r>
        <w:rPr/>
        <w:t>Pytanie 1</w:t>
      </w:r>
    </w:p>
    <w:p>
      <w:pPr>
        <w:pStyle w:val="Normal"/>
        <w:numPr>
          <w:ilvl w:val="0"/>
          <w:numId w:val="0"/>
        </w:numPr>
        <w:ind w:left="720" w:hanging="0"/>
        <w:rPr/>
      </w:pPr>
      <w:r>
        <w:rPr/>
        <w:t>Czy Zamawiający wydzieli do osobnego Pakietu produkty z Pakietu 1 poz. 8 i 9 oraz z Pakietu 2 poz. 17 i 18 i czy dopuści:</w:t>
      </w:r>
    </w:p>
    <w:p>
      <w:pPr>
        <w:pStyle w:val="Normal"/>
        <w:numPr>
          <w:ilvl w:val="0"/>
          <w:numId w:val="0"/>
        </w:numPr>
        <w:ind w:left="720" w:hanging="0"/>
        <w:rPr/>
      </w:pPr>
      <w:r>
        <w:rPr/>
        <w:t>Spektrum działania: bakterie, grzyby w czasie do 15 sekund?</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val="false"/>
          <w:bCs w:val="false"/>
          <w:i w:val="false"/>
          <w:iCs w:val="false"/>
          <w:color w:val="000000"/>
          <w:sz w:val="22"/>
          <w:szCs w:val="22"/>
          <w:u w:val="none"/>
        </w:rPr>
        <w:t xml:space="preserve">Nie, Zamawiający nie wydzieli.  </w:t>
      </w:r>
      <w:bookmarkStart w:id="1" w:name="__DdeLink__263_2259634963"/>
      <w:r>
        <w:rPr>
          <w:rFonts w:eastAsia="Calibri" w:cs="Times New Roman" w:ascii="Times New Roman" w:hAnsi="Times New Roman"/>
          <w:b w:val="false"/>
          <w:bCs w:val="false"/>
          <w:i w:val="false"/>
          <w:iCs w:val="false"/>
          <w:color w:val="000000"/>
          <w:sz w:val="22"/>
          <w:szCs w:val="22"/>
          <w:u w:val="none"/>
        </w:rPr>
        <w:t>Zgodnie z SWZ.</w:t>
      </w:r>
      <w:bookmarkEnd w:id="1"/>
    </w:p>
    <w:p>
      <w:pPr>
        <w:pStyle w:val="Normal"/>
        <w:numPr>
          <w:ilvl w:val="0"/>
          <w:numId w:val="0"/>
        </w:numPr>
        <w:ind w:left="720" w:hanging="0"/>
        <w:rPr/>
      </w:pPr>
      <w:r>
        <w:rPr/>
        <w:t>Pytanie 2</w:t>
      </w:r>
    </w:p>
    <w:p>
      <w:pPr>
        <w:pStyle w:val="Normal"/>
        <w:numPr>
          <w:ilvl w:val="0"/>
          <w:numId w:val="0"/>
        </w:numPr>
        <w:ind w:left="720" w:hanging="0"/>
        <w:rPr/>
      </w:pPr>
      <w:r>
        <w:rPr/>
        <w:t>Czy Zamawiający wydzieli do osobnego Pakietu produkty z Pakietu 2 poz. 14 i 15 i czy dopuści:</w:t>
      </w:r>
    </w:p>
    <w:p>
      <w:pPr>
        <w:pStyle w:val="Normal"/>
        <w:numPr>
          <w:ilvl w:val="0"/>
          <w:numId w:val="0"/>
        </w:numPr>
        <w:ind w:left="720" w:hanging="0"/>
        <w:rPr/>
      </w:pPr>
      <w:r>
        <w:rPr/>
        <w:t>Chusteczki w specjalnie zaprojektowanym systemie dozującym (wiadro z klipsem) do stosowania na sucho i mokro o gramaturze 70g/m², z możliwością nasączenia środkami do dezynfekcji powierzchni oraz zwoje chusteczek 100sztuk o wymiarach 30x34cm w każdym do wyżej wymienionego systemu?</w:t>
      </w:r>
    </w:p>
    <w:p>
      <w:pPr>
        <w:pStyle w:val="Normal"/>
        <w:numPr>
          <w:ilvl w:val="0"/>
          <w:numId w:val="0"/>
        </w:numPr>
        <w:ind w:left="720" w:hanging="0"/>
        <w:rPr/>
      </w:pPr>
      <w:r>
        <w:rPr/>
        <w:t>lub</w:t>
      </w:r>
    </w:p>
    <w:p>
      <w:pPr>
        <w:pStyle w:val="Normal"/>
        <w:numPr>
          <w:ilvl w:val="0"/>
          <w:numId w:val="0"/>
        </w:numPr>
        <w:ind w:left="720" w:hanging="0"/>
        <w:rPr/>
      </w:pPr>
      <w:r>
        <w:rPr/>
        <w:t>Chusteczki w specjalnie zaprojektowanym systemie dozującym (wiadro z klipsem) do stosowania na sucho i mokro o gramaturze 70g/m², z możliwością nasączenia środkami do dezynfekcji powierzchni oraz zwoje chusteczek 300sztuk o wymiarach 18x25cm w każdym do wyżej wymienionego systemu?</w:t>
      </w:r>
    </w:p>
    <w:p>
      <w:pPr>
        <w:pStyle w:val="Normal"/>
        <w:numPr>
          <w:ilvl w:val="0"/>
          <w:numId w:val="0"/>
        </w:numPr>
        <w:ind w:left="720" w:hanging="0"/>
        <w:rPr/>
      </w:pPr>
      <w:r>
        <w:rPr/>
        <w:t>W PRZYPADKU ZGODY PROSIMY O WSKAZANIE SPOSOBU PRZELICZENIA.</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pPr>
      <w:bookmarkStart w:id="2" w:name="__DdeLink__364_960418585"/>
      <w:r>
        <w:rPr>
          <w:rFonts w:eastAsia="Calibri" w:cs="Times New Roman" w:ascii="Times New Roman" w:hAnsi="Times New Roman"/>
          <w:b w:val="false"/>
          <w:bCs w:val="false"/>
          <w:i w:val="false"/>
          <w:iCs w:val="false"/>
          <w:color w:val="000000"/>
          <w:sz w:val="22"/>
          <w:szCs w:val="22"/>
          <w:u w:val="none"/>
        </w:rPr>
        <w:t>Nie, Zamawiający nie wydzieli.</w:t>
      </w:r>
      <w:bookmarkEnd w:id="2"/>
      <w:r>
        <w:rPr>
          <w:rFonts w:eastAsia="Calibri" w:cs="Times New Roman" w:ascii="Times New Roman" w:hAnsi="Times New Roman"/>
          <w:b w:val="false"/>
          <w:bCs w:val="false"/>
          <w:i w:val="false"/>
          <w:iCs w:val="false"/>
          <w:color w:val="000000"/>
          <w:sz w:val="22"/>
          <w:szCs w:val="22"/>
          <w:u w:val="none"/>
        </w:rPr>
        <w:t xml:space="preserve"> Zgodnie z SWZ.</w:t>
      </w:r>
    </w:p>
    <w:p>
      <w:pPr>
        <w:pStyle w:val="Normal"/>
        <w:numPr>
          <w:ilvl w:val="0"/>
          <w:numId w:val="0"/>
        </w:numPr>
        <w:ind w:left="720" w:hanging="0"/>
        <w:rPr/>
      </w:pPr>
      <w:r>
        <w:rPr/>
        <w:t>Pytanie 3</w:t>
      </w:r>
    </w:p>
    <w:p>
      <w:pPr>
        <w:pStyle w:val="Normal"/>
        <w:numPr>
          <w:ilvl w:val="0"/>
          <w:numId w:val="0"/>
        </w:numPr>
        <w:ind w:left="720" w:hanging="0"/>
        <w:rPr/>
      </w:pPr>
      <w:r>
        <w:rPr/>
        <w:t>Czy Zamawiający wydzieli do osobnego Pakietu produkt z Pakietu 3 poz. 8 i czy dopuści:</w:t>
      </w:r>
    </w:p>
    <w:p>
      <w:pPr>
        <w:pStyle w:val="Normal"/>
        <w:numPr>
          <w:ilvl w:val="0"/>
          <w:numId w:val="0"/>
        </w:numPr>
        <w:ind w:left="720" w:hanging="0"/>
        <w:rPr/>
      </w:pPr>
      <w:r>
        <w:rPr/>
        <w:t>Uniwersalny system suchych chusteczek, kompatybilny z dowolnym preparatem do dezynfekcji. Chusteczki w rozmiarze 30x34cm, w ilości 100sztuk o gramaturze 70g/m² w rolce włożonej w wiaderko i Chusteczki w rozmiarze 30x34cm, w ilości 100sztuk o gramaturze 70g/m² pakowane w rolce jako wkład do wiaderka?</w:t>
      </w:r>
    </w:p>
    <w:p>
      <w:pPr>
        <w:pStyle w:val="Normal"/>
        <w:numPr>
          <w:ilvl w:val="0"/>
          <w:numId w:val="0"/>
        </w:numPr>
        <w:ind w:left="720" w:hanging="0"/>
        <w:rPr/>
      </w:pPr>
      <w:r>
        <w:rPr/>
        <w:t>lub</w:t>
      </w:r>
    </w:p>
    <w:p>
      <w:pPr>
        <w:pStyle w:val="Normal"/>
        <w:numPr>
          <w:ilvl w:val="0"/>
          <w:numId w:val="0"/>
        </w:numPr>
        <w:ind w:left="720" w:hanging="0"/>
        <w:rPr/>
      </w:pPr>
      <w:r>
        <w:rPr/>
        <w:t>Uniwersalny system suchych chusteczek, kompatybilny z dowolnym preparatem do dezynfekcji. Chusteczki w rozmiarze 18x25cm, w ilości 300sztuk o gramaturze 70g/m² w rolce włożonej w wiaderko i Chusteczki w rozmiarze 18x25cm, w ilości 300sztuk o gramaturze 70g/m² pakowane w rolce jako wkład do wiaderka?</w:t>
      </w:r>
    </w:p>
    <w:p>
      <w:pPr>
        <w:pStyle w:val="Normal"/>
        <w:numPr>
          <w:ilvl w:val="0"/>
          <w:numId w:val="0"/>
        </w:numPr>
        <w:ind w:left="720" w:hanging="0"/>
        <w:rPr/>
      </w:pPr>
      <w:r>
        <w:rPr/>
        <w:t>W PRZYPADKU ZGODY PROSIMY O WSKAZANIE SPOSOBU PRZELICZENIA.</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val="false"/>
          <w:bCs w:val="false"/>
          <w:i w:val="false"/>
          <w:iCs w:val="false"/>
          <w:color w:val="000000"/>
          <w:sz w:val="22"/>
          <w:szCs w:val="22"/>
          <w:u w:val="none"/>
        </w:rPr>
        <w:t>Nie, Zamawiający nie wydzieli. Zgodnie z SWZ.</w:t>
      </w:r>
    </w:p>
    <w:p>
      <w:pPr>
        <w:pStyle w:val="Normal"/>
        <w:numPr>
          <w:ilvl w:val="0"/>
          <w:numId w:val="0"/>
        </w:numPr>
        <w:ind w:left="720" w:hanging="0"/>
        <w:rPr/>
      </w:pPr>
      <w:r>
        <w:rPr/>
        <w:t>Pytanie 4</w:t>
      </w:r>
    </w:p>
    <w:p>
      <w:pPr>
        <w:pStyle w:val="Normal"/>
        <w:numPr>
          <w:ilvl w:val="0"/>
          <w:numId w:val="0"/>
        </w:numPr>
        <w:ind w:left="720" w:hanging="0"/>
        <w:rPr/>
      </w:pPr>
      <w:r>
        <w:rPr/>
        <w:t xml:space="preserve">Dotyczy umowy- prosimy do paragrafu 9 dopisać na końcu ustęp 4 o treści: </w:t>
        <w:br/>
        <w:t xml:space="preserve">"Ustępy 1 i 3 paragrafu 9 obowiązują pod warunkiem, że Zamawiający opłacił wszystkie wystawione przez Wykonawcę na rzecz Zamawiającego faktury w terminie do ich opłacenia."  </w:t>
        <w:br/>
        <w:t>(Aby wykluczyć hipotetycznie sytuację, w której Zamawiający nie opłaca faktur, a może równocześnie naliczać kary Wykonawcy, gdy Wykonawca już nie może nie mając zapłaty za towar dostarczać dalej towaru, co może skutkować tym, że na końcu Zamawiający może nawet za niedostarczanie towaru przez Wykonawcę z przyczyn braku zapłaty za niego przez Zamawiającego zostać obciążony karą, w której to Wykonawca będzie winny, bo np. Zamawiający zerwie umowę z Wykonawcą, bo ten nie dostarcza towaru).</w:t>
      </w:r>
    </w:p>
    <w:p>
      <w:pPr>
        <w:pStyle w:val="Normal"/>
        <w:numPr>
          <w:ilvl w:val="0"/>
          <w:numId w:val="0"/>
        </w:numPr>
        <w:ind w:left="720" w:hanging="0"/>
        <w:rPr/>
      </w:pPr>
      <w:r>
        <w:rPr/>
        <w:t>lub</w:t>
      </w:r>
    </w:p>
    <w:p>
      <w:pPr>
        <w:pStyle w:val="Normal"/>
        <w:numPr>
          <w:ilvl w:val="0"/>
          <w:numId w:val="0"/>
        </w:numPr>
        <w:ind w:left="720" w:hanging="0"/>
        <w:rPr/>
      </w:pPr>
      <w:r>
        <w:rPr/>
        <w:t>o dopisanie na końcu paragrafu 9 ustępu 4 o treści:</w:t>
      </w:r>
    </w:p>
    <w:p>
      <w:pPr>
        <w:pStyle w:val="Normal"/>
        <w:numPr>
          <w:ilvl w:val="0"/>
          <w:numId w:val="0"/>
        </w:numPr>
        <w:spacing w:lineRule="auto" w:line="276" w:before="0" w:after="120"/>
        <w:ind w:left="720" w:right="0" w:hanging="0"/>
        <w:jc w:val="left"/>
        <w:rPr>
          <w:b w:val="false"/>
          <w:b w:val="false"/>
          <w:bCs w:val="false"/>
          <w:color w:val="000000"/>
          <w:u w:val="none"/>
        </w:rPr>
      </w:pPr>
      <w:r>
        <w:rPr>
          <w:rFonts w:eastAsia="Calibri" w:cs="Times New Roman" w:ascii="Times New Roman" w:hAnsi="Times New Roman"/>
          <w:b w:val="false"/>
          <w:bCs w:val="false"/>
          <w:i w:val="false"/>
          <w:iCs w:val="false"/>
          <w:color w:val="000000"/>
          <w:sz w:val="22"/>
          <w:szCs w:val="22"/>
          <w:u w:val="none"/>
        </w:rPr>
        <w:t>"W przypadku niedotrzymania przez Zamawiającego terminu zapłaty faktury za dostarczony towar, Wykonawcy przysługuje prawo naliczania odsetek ustawowych i równocześnie przysługuje mu prawo naliczania kar umownych w wysokości 0.2% kwoty brutto z faktury za każdy dzień opóźnienia w płatności.</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pPr>
      <w:bookmarkStart w:id="3" w:name="__DdeLink__243_177763390"/>
      <w:r>
        <w:rPr>
          <w:rFonts w:eastAsia="Calibri" w:cs="Times New Roman" w:ascii="Times New Roman" w:hAnsi="Times New Roman"/>
          <w:b w:val="false"/>
          <w:bCs w:val="false"/>
          <w:i w:val="false"/>
          <w:iCs w:val="false"/>
          <w:color w:val="000000"/>
          <w:sz w:val="22"/>
          <w:szCs w:val="22"/>
          <w:u w:val="none"/>
        </w:rPr>
        <w:t>Zgodnie z SWZ.</w:t>
      </w:r>
      <w:bookmarkEnd w:id="3"/>
    </w:p>
    <w:p>
      <w:pPr>
        <w:pStyle w:val="Akapitzlist"/>
        <w:numPr>
          <w:ilvl w:val="0"/>
          <w:numId w:val="0"/>
        </w:numPr>
        <w:spacing w:lineRule="auto" w:line="276" w:before="0" w:after="120"/>
        <w:ind w:left="720" w:right="0" w:hanging="0"/>
        <w:jc w:val="left"/>
        <w:rPr>
          <w:rFonts w:ascii="Times New Roman" w:hAnsi="Times New Roman" w:eastAsia="Calibri" w:cs="Times New Roman"/>
          <w:b w:val="false"/>
          <w:b w:val="false"/>
          <w:bCs w:val="false"/>
          <w:i w:val="false"/>
          <w:i w:val="false"/>
          <w:iCs w:val="false"/>
          <w:color w:val="000000"/>
          <w:sz w:val="22"/>
          <w:szCs w:val="22"/>
          <w:u w:val="none"/>
        </w:rPr>
      </w:pPr>
      <w:r>
        <w:rPr>
          <w:rFonts w:eastAsia="Calibri" w:cs="Times New Roman" w:ascii="Times New Roman" w:hAnsi="Times New Roman"/>
          <w:b w:val="false"/>
          <w:bCs w:val="false"/>
          <w:i w:val="false"/>
          <w:iCs w:val="false"/>
          <w:color w:val="000000"/>
          <w:sz w:val="22"/>
          <w:szCs w:val="22"/>
          <w:u w:val="none"/>
        </w:rPr>
      </w:r>
    </w:p>
    <w:p>
      <w:pPr>
        <w:pStyle w:val="Normal"/>
        <w:numPr>
          <w:ilvl w:val="0"/>
          <w:numId w:val="0"/>
        </w:numPr>
        <w:spacing w:lineRule="auto" w:line="276" w:before="0" w:after="120"/>
        <w:ind w:left="720" w:right="0" w:hanging="0"/>
        <w:jc w:val="left"/>
        <w:rPr>
          <w:b/>
          <w:b/>
          <w:bCs/>
        </w:rPr>
      </w:pPr>
      <w:r>
        <w:rPr>
          <w:rFonts w:eastAsia="Calibri" w:cs="Times New Roman" w:ascii="Times New Roman" w:hAnsi="Times New Roman"/>
          <w:b/>
          <w:bCs/>
          <w:i w:val="false"/>
          <w:iCs w:val="false"/>
          <w:color w:val="000000"/>
          <w:sz w:val="22"/>
          <w:szCs w:val="22"/>
          <w:u w:val="none"/>
        </w:rPr>
        <w:t>Pytanie:</w:t>
      </w:r>
    </w:p>
    <w:p>
      <w:pPr>
        <w:pStyle w:val="Normal"/>
        <w:numPr>
          <w:ilvl w:val="0"/>
          <w:numId w:val="0"/>
        </w:numPr>
        <w:spacing w:lineRule="auto" w:line="276" w:before="0" w:after="120"/>
        <w:ind w:left="720" w:right="0" w:hanging="0"/>
        <w:jc w:val="left"/>
        <w:rPr/>
      </w:pPr>
      <w:r>
        <w:rPr>
          <w:rFonts w:eastAsia="Calibri" w:cs="Times New Roman" w:ascii="Times New Roman" w:hAnsi="Times New Roman"/>
          <w:b w:val="false"/>
          <w:bCs w:val="false"/>
          <w:i w:val="false"/>
          <w:iCs w:val="false"/>
          <w:color w:val="000000"/>
          <w:sz w:val="22"/>
          <w:szCs w:val="22"/>
          <w:u w:val="none"/>
        </w:rPr>
        <w:t>jako Wykonawca zainteresowany udziałem w przedmiotowym postępowaniu, prosimy o zrezygnowanie z obowiązkowego wniesienia towaru przez Wykonawcę.</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val="false"/>
          <w:bCs w:val="false"/>
          <w:i w:val="false"/>
          <w:iCs w:val="false"/>
          <w:color w:val="000000"/>
          <w:sz w:val="22"/>
          <w:szCs w:val="22"/>
          <w:u w:val="none"/>
        </w:rPr>
        <w:t>Zgodnie z SWZ.</w:t>
      </w:r>
    </w:p>
    <w:p>
      <w:pPr>
        <w:pStyle w:val="Akapitzlist"/>
        <w:numPr>
          <w:ilvl w:val="0"/>
          <w:numId w:val="0"/>
        </w:numPr>
        <w:spacing w:lineRule="auto" w:line="276" w:before="0" w:after="120"/>
        <w:ind w:left="720" w:right="0" w:hanging="0"/>
        <w:jc w:val="left"/>
        <w:rPr>
          <w:rFonts w:ascii="Times New Roman" w:hAnsi="Times New Roman" w:eastAsia="Calibri" w:cs="Times New Roman"/>
          <w:b w:val="false"/>
          <w:b w:val="false"/>
          <w:bCs w:val="false"/>
          <w:i w:val="false"/>
          <w:i w:val="false"/>
          <w:iCs w:val="false"/>
          <w:color w:val="000000"/>
          <w:sz w:val="22"/>
          <w:szCs w:val="22"/>
          <w:u w:val="none"/>
        </w:rPr>
      </w:pPr>
      <w:r>
        <w:rPr>
          <w:rFonts w:eastAsia="Calibri" w:cs="Times New Roman" w:ascii="Times New Roman" w:hAnsi="Times New Roman"/>
          <w:b w:val="false"/>
          <w:bCs w:val="false"/>
          <w:i w:val="false"/>
          <w:iCs w:val="false"/>
          <w:color w:val="000000"/>
          <w:sz w:val="22"/>
          <w:szCs w:val="22"/>
          <w:u w:val="none"/>
        </w:rPr>
      </w:r>
    </w:p>
    <w:p>
      <w:pPr>
        <w:pStyle w:val="Normal"/>
        <w:numPr>
          <w:ilvl w:val="0"/>
          <w:numId w:val="0"/>
        </w:numPr>
        <w:spacing w:lineRule="auto" w:line="276" w:before="0" w:after="120"/>
        <w:ind w:left="720" w:right="0" w:hanging="0"/>
        <w:jc w:val="left"/>
        <w:rPr>
          <w:u w:val="single"/>
        </w:rPr>
      </w:pPr>
      <w:r>
        <w:rPr>
          <w:rFonts w:eastAsia="Calibri" w:cs="Times New Roman" w:ascii="Times New Roman" w:hAnsi="Times New Roman"/>
          <w:b/>
          <w:bCs/>
          <w:i w:val="false"/>
          <w:iCs w:val="false"/>
          <w:color w:val="000000"/>
          <w:sz w:val="22"/>
          <w:szCs w:val="22"/>
          <w:u w:val="none"/>
        </w:rPr>
        <w:t>Pytanie:</w:t>
      </w:r>
    </w:p>
    <w:p>
      <w:pPr>
        <w:pStyle w:val="Tretekstu"/>
        <w:numPr>
          <w:ilvl w:val="0"/>
          <w:numId w:val="0"/>
        </w:numPr>
        <w:spacing w:lineRule="auto" w:line="276" w:before="0" w:after="120"/>
        <w:ind w:left="720" w:right="0" w:hanging="0"/>
        <w:jc w:val="left"/>
        <w:rPr>
          <w:u w:val="single"/>
        </w:rPr>
      </w:pPr>
      <w:r>
        <w:rPr>
          <w:rFonts w:eastAsia="Calibri" w:cs="Times New Roman" w:ascii="Times New Roman" w:hAnsi="Times New Roman"/>
          <w:b w:val="false"/>
          <w:bCs w:val="false"/>
          <w:i w:val="false"/>
          <w:iCs w:val="false"/>
          <w:color w:val="000000"/>
          <w:sz w:val="22"/>
          <w:szCs w:val="22"/>
          <w:u w:val="none"/>
        </w:rPr>
        <w:t>Pakiet 3 poz. 9</w:t>
      </w:r>
    </w:p>
    <w:p>
      <w:pPr>
        <w:pStyle w:val="Tretekstu"/>
        <w:rPr/>
      </w:pPr>
      <w:r>
        <w:rPr/>
        <w:t>W związku z wycofaniem przez producenta produktu o pojemności 100 ml, prosimy o dopuszczenie tego samego preparatu (z atomizerem) o pojemności 250 ml. Prosimy o określenie ilości w op. 250 ml.</w:t>
      </w:r>
    </w:p>
    <w:p>
      <w:pPr>
        <w:pStyle w:val="Akapitzlist"/>
        <w:numPr>
          <w:ilvl w:val="0"/>
          <w:numId w:val="0"/>
        </w:numPr>
        <w:spacing w:lineRule="auto" w:line="276" w:before="0" w:after="120"/>
        <w:ind w:left="720" w:right="0" w:hanging="0"/>
        <w:jc w:val="left"/>
        <w:rPr>
          <w:u w:val="single"/>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b w:val="false"/>
          <w:b w:val="false"/>
          <w:bCs w:val="false"/>
          <w:u w:val="none"/>
        </w:rPr>
      </w:pPr>
      <w:r>
        <w:rPr>
          <w:rFonts w:eastAsia="Calibri" w:cs="Times New Roman" w:ascii="Times New Roman" w:hAnsi="Times New Roman"/>
          <w:b w:val="false"/>
          <w:bCs w:val="false"/>
          <w:i w:val="false"/>
          <w:iCs w:val="false"/>
          <w:color w:val="000000"/>
          <w:sz w:val="22"/>
          <w:szCs w:val="22"/>
          <w:u w:val="none"/>
        </w:rPr>
        <w:t>Tak, Zamawiający dopuszcza. Należy zaoferować 10 op. w op. 250 ml.</w:t>
      </w:r>
    </w:p>
    <w:p>
      <w:pPr>
        <w:pStyle w:val="Normal"/>
        <w:numPr>
          <w:ilvl w:val="0"/>
          <w:numId w:val="0"/>
        </w:numPr>
        <w:spacing w:lineRule="auto" w:line="276" w:before="0" w:after="120"/>
        <w:ind w:left="720" w:right="0" w:hanging="0"/>
        <w:jc w:val="left"/>
        <w:rPr>
          <w:rFonts w:ascii="Times New Roman" w:hAnsi="Times New Roman" w:eastAsia="Calibri" w:cs="Times New Roman"/>
          <w:b/>
          <w:b/>
          <w:bCs/>
          <w:i w:val="false"/>
          <w:i w:val="false"/>
          <w:iCs w:val="false"/>
          <w:color w:val="000000"/>
          <w:sz w:val="22"/>
          <w:szCs w:val="22"/>
          <w:u w:val="none"/>
        </w:rPr>
      </w:pPr>
      <w:r>
        <w:rPr>
          <w:rFonts w:eastAsia="Calibri" w:cs="Times New Roman" w:ascii="Times New Roman" w:hAnsi="Times New Roman"/>
          <w:b/>
          <w:bCs/>
          <w:i w:val="false"/>
          <w:iCs w:val="false"/>
          <w:color w:val="000000"/>
          <w:sz w:val="22"/>
          <w:szCs w:val="22"/>
          <w:u w:val="none"/>
        </w:rPr>
      </w:r>
    </w:p>
    <w:p>
      <w:pPr>
        <w:pStyle w:val="Normal"/>
        <w:numPr>
          <w:ilvl w:val="0"/>
          <w:numId w:val="0"/>
        </w:numPr>
        <w:spacing w:lineRule="auto" w:line="276" w:before="0" w:after="120"/>
        <w:ind w:left="720" w:right="0" w:hanging="0"/>
        <w:jc w:val="left"/>
        <w:rPr>
          <w:u w:val="single"/>
        </w:rPr>
      </w:pPr>
      <w:r>
        <w:rPr>
          <w:rFonts w:eastAsia="Calibri" w:cs="Times New Roman" w:ascii="Times New Roman" w:hAnsi="Times New Roman"/>
          <w:b/>
          <w:bCs/>
          <w:i w:val="false"/>
          <w:iCs w:val="false"/>
          <w:color w:val="000000"/>
          <w:sz w:val="22"/>
          <w:szCs w:val="22"/>
          <w:u w:val="none"/>
        </w:rPr>
        <w:t>Pytanie:</w:t>
      </w:r>
    </w:p>
    <w:p>
      <w:pPr>
        <w:pStyle w:val="Tretekstu"/>
        <w:rPr>
          <w:u w:val="single"/>
        </w:rPr>
      </w:pPr>
      <w:r>
        <w:rPr>
          <w:u w:val="single"/>
        </w:rPr>
        <w:t>Pakiet 3 poz 10.</w:t>
      </w:r>
    </w:p>
    <w:p>
      <w:pPr>
        <w:pStyle w:val="Tretekstu"/>
        <w:rPr/>
      </w:pPr>
      <w:r>
        <w:rPr/>
        <w:t xml:space="preserve">W związku z tym, że opisany preparat jest obecnie i w najbliższej przyszłości niedostępny, prosimy o dopuszczenie produktu równoważnego, konfekcjonowanego w opakowaniach 1 litr. z odpowiednim przeliczeniem ilości. </w:t>
      </w:r>
    </w:p>
    <w:p>
      <w:pPr>
        <w:pStyle w:val="Akapitzlist"/>
        <w:numPr>
          <w:ilvl w:val="0"/>
          <w:numId w:val="0"/>
        </w:numPr>
        <w:spacing w:lineRule="auto" w:line="276" w:before="0" w:after="120"/>
        <w:ind w:left="720" w:right="0" w:hanging="0"/>
        <w:jc w:val="left"/>
        <w:rPr/>
      </w:pPr>
      <w:r>
        <w:rPr>
          <w:rFonts w:eastAsia="Calibri" w:cs="Times New Roman" w:ascii="Times New Roman" w:hAnsi="Times New Roman"/>
          <w:b/>
          <w:bCs/>
          <w:i w:val="false"/>
          <w:iCs w:val="false"/>
          <w:color w:val="000000"/>
          <w:sz w:val="22"/>
          <w:szCs w:val="22"/>
          <w:u w:val="single"/>
        </w:rPr>
        <w:t>Odpowiedź</w:t>
      </w:r>
    </w:p>
    <w:p>
      <w:pPr>
        <w:pStyle w:val="Akapitzlist"/>
        <w:numPr>
          <w:ilvl w:val="0"/>
          <w:numId w:val="0"/>
        </w:numPr>
        <w:spacing w:lineRule="auto" w:line="276" w:before="0" w:after="120"/>
        <w:ind w:left="720" w:right="0" w:hanging="0"/>
        <w:jc w:val="left"/>
        <w:rPr>
          <w:b w:val="false"/>
          <w:b w:val="false"/>
          <w:bCs w:val="false"/>
          <w:u w:val="none"/>
        </w:rPr>
      </w:pPr>
      <w:r>
        <w:rPr>
          <w:rFonts w:eastAsia="Calibri" w:cs="Times New Roman" w:ascii="Times New Roman" w:hAnsi="Times New Roman"/>
          <w:b w:val="false"/>
          <w:bCs w:val="false"/>
          <w:i w:val="false"/>
          <w:iCs w:val="false"/>
          <w:color w:val="000000"/>
          <w:sz w:val="22"/>
          <w:szCs w:val="22"/>
          <w:u w:val="none"/>
        </w:rPr>
        <w:t>Tak, Zamawiający dopuszcza.</w:t>
      </w:r>
    </w:p>
    <w:p>
      <w:pPr>
        <w:pStyle w:val="Normal"/>
        <w:spacing w:before="0" w:after="160"/>
        <w:jc w:val="righ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spacing w:before="0" w:after="160"/>
        <w:jc w:val="right"/>
        <w:rPr/>
      </w:pPr>
      <w:r>
        <w:rPr>
          <w:rFonts w:eastAsia="Times New Roman" w:cs="Times New Roman" w:ascii="Times New Roman" w:hAnsi="Times New Roman"/>
          <w:color w:val="000000"/>
          <w:sz w:val="22"/>
          <w:szCs w:val="22"/>
        </w:rPr>
        <w:t>Dyrektor ZOZ w Pińczowie</w:t>
        <w:br/>
      </w:r>
      <w:r>
        <w:rPr>
          <w:rFonts w:eastAsia="Times New Roman" w:cs="Times New Roman" w:ascii="Times New Roman" w:hAnsi="Times New Roman"/>
          <w:b w:val="false"/>
          <w:bCs w:val="false"/>
          <w:color w:val="000000"/>
          <w:sz w:val="22"/>
          <w:szCs w:val="22"/>
        </w:rPr>
        <w:t>Krzysztof Słonina</w:t>
      </w:r>
    </w:p>
    <w:sectPr>
      <w:type w:val="nextPage"/>
      <w:pgSz w:w="12240" w:h="15840"/>
      <w:pgMar w:left="1417" w:right="1417" w:header="0" w:top="851"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Courier New">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Roboto">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339"/>
    <w:pPr>
      <w:widowControl/>
      <w:overflowPunct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next w:val="Normal"/>
    <w:link w:val="Nagwek1Znak"/>
    <w:uiPriority w:val="9"/>
    <w:qFormat/>
    <w:rsid w:val="00111126"/>
    <w:pPr>
      <w:keepNext w:val="true"/>
      <w:keepLines/>
      <w:widowControl/>
      <w:overflowPunct w:val="true"/>
      <w:bidi w:val="0"/>
      <w:spacing w:lineRule="auto" w:line="264" w:before="0" w:after="213"/>
      <w:ind w:left="370" w:hanging="10"/>
      <w:jc w:val="left"/>
      <w:outlineLvl w:val="0"/>
    </w:pPr>
    <w:rPr>
      <w:rFonts w:ascii="Calibri" w:hAnsi="Calibri" w:eastAsia="Calibri" w:cs="Calibri"/>
      <w:color w:val="000000"/>
      <w:kern w:val="0"/>
      <w:sz w:val="20"/>
      <w:szCs w:val="22"/>
      <w:u w:val="single" w:color="000000"/>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ea3edb"/>
    <w:rPr/>
  </w:style>
  <w:style w:type="character" w:styleId="StopkaZnak" w:customStyle="1">
    <w:name w:val="Stopka Znak"/>
    <w:basedOn w:val="DefaultParagraphFont"/>
    <w:link w:val="Stopka"/>
    <w:uiPriority w:val="99"/>
    <w:qFormat/>
    <w:rsid w:val="00ea3edb"/>
    <w:rPr/>
  </w:style>
  <w:style w:type="character" w:styleId="Czeinternetowe">
    <w:name w:val="Łącze internetowe"/>
    <w:basedOn w:val="DefaultParagraphFont"/>
    <w:uiPriority w:val="99"/>
    <w:unhideWhenUsed/>
    <w:rsid w:val="002401f4"/>
    <w:rPr>
      <w:color w:val="0563C1"/>
      <w:u w:val="single"/>
    </w:rPr>
  </w:style>
  <w:style w:type="character" w:styleId="TekstprzypisukocowegoZnak" w:customStyle="1">
    <w:name w:val="Tekst przypisu końcowego Znak"/>
    <w:basedOn w:val="DefaultParagraphFont"/>
    <w:link w:val="Tekstprzypisukocowego"/>
    <w:uiPriority w:val="99"/>
    <w:semiHidden/>
    <w:qFormat/>
    <w:rsid w:val="00e56972"/>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e56972"/>
    <w:rPr>
      <w:vertAlign w:val="superscript"/>
    </w:rPr>
  </w:style>
  <w:style w:type="character" w:styleId="Annotationreference">
    <w:name w:val="annotation reference"/>
    <w:basedOn w:val="DefaultParagraphFont"/>
    <w:uiPriority w:val="99"/>
    <w:unhideWhenUsed/>
    <w:qFormat/>
    <w:rsid w:val="009c6bca"/>
    <w:rPr>
      <w:sz w:val="16"/>
      <w:szCs w:val="16"/>
    </w:rPr>
  </w:style>
  <w:style w:type="character" w:styleId="TekstkomentarzaZnak" w:customStyle="1">
    <w:name w:val="Tekst komentarza Znak"/>
    <w:basedOn w:val="DefaultParagraphFont"/>
    <w:link w:val="Tekstkomentarza"/>
    <w:uiPriority w:val="99"/>
    <w:qFormat/>
    <w:rsid w:val="009c6bca"/>
    <w:rPr>
      <w:sz w:val="20"/>
      <w:szCs w:val="20"/>
    </w:rPr>
  </w:style>
  <w:style w:type="character" w:styleId="TematkomentarzaZnak" w:customStyle="1">
    <w:name w:val="Temat komentarza Znak"/>
    <w:basedOn w:val="TekstkomentarzaZnak"/>
    <w:link w:val="Tematkomentarza"/>
    <w:uiPriority w:val="99"/>
    <w:semiHidden/>
    <w:qFormat/>
    <w:rsid w:val="009c6bca"/>
    <w:rPr>
      <w:b/>
      <w:bCs/>
      <w:sz w:val="20"/>
      <w:szCs w:val="20"/>
    </w:rPr>
  </w:style>
  <w:style w:type="character" w:styleId="TekstdymkaZnak" w:customStyle="1">
    <w:name w:val="Tekst dymka Znak"/>
    <w:basedOn w:val="DefaultParagraphFont"/>
    <w:link w:val="Tekstdymka"/>
    <w:uiPriority w:val="99"/>
    <w:semiHidden/>
    <w:qFormat/>
    <w:rsid w:val="009c6bca"/>
    <w:rPr>
      <w:rFonts w:ascii="Segoe UI" w:hAnsi="Segoe UI" w:cs="Segoe UI"/>
      <w:sz w:val="18"/>
      <w:szCs w:val="18"/>
    </w:rPr>
  </w:style>
  <w:style w:type="character" w:styleId="AkapitzlistZnak" w:customStyle="1">
    <w:name w:val="Akapit z listą Znak"/>
    <w:link w:val="Akapitzlist"/>
    <w:uiPriority w:val="99"/>
    <w:qFormat/>
    <w:locked/>
    <w:rsid w:val="00b024f7"/>
    <w:rPr>
      <w:lang w:val="pl-PL"/>
    </w:rPr>
  </w:style>
  <w:style w:type="character" w:styleId="HTMLwstpniesformatowanyZnak" w:customStyle="1">
    <w:name w:val="HTML - wstępnie sformatowany Znak"/>
    <w:basedOn w:val="DefaultParagraphFont"/>
    <w:link w:val="HTML-wstpniesformatowany"/>
    <w:uiPriority w:val="99"/>
    <w:semiHidden/>
    <w:qFormat/>
    <w:rsid w:val="00dc0c69"/>
    <w:rPr>
      <w:rFonts w:ascii="Courier New" w:hAnsi="Courier New" w:eastAsia="Times New Roman" w:cs="Courier New"/>
      <w:sz w:val="20"/>
      <w:szCs w:val="20"/>
      <w:lang w:val="pl-PL" w:eastAsia="pl-PL"/>
    </w:rPr>
  </w:style>
  <w:style w:type="character" w:styleId="Nierozpoznanawzmianka1" w:customStyle="1">
    <w:name w:val="Nierozpoznana wzmianka1"/>
    <w:basedOn w:val="DefaultParagraphFont"/>
    <w:uiPriority w:val="99"/>
    <w:semiHidden/>
    <w:unhideWhenUsed/>
    <w:qFormat/>
    <w:rsid w:val="00c60c61"/>
    <w:rPr>
      <w:color w:val="605E5C"/>
      <w:shd w:fill="E1DFDD" w:val="clear"/>
    </w:rPr>
  </w:style>
  <w:style w:type="character" w:styleId="FollowedHyperlink">
    <w:name w:val="FollowedHyperlink"/>
    <w:basedOn w:val="DefaultParagraphFont"/>
    <w:uiPriority w:val="99"/>
    <w:semiHidden/>
    <w:unhideWhenUsed/>
    <w:qFormat/>
    <w:rsid w:val="003577ba"/>
    <w:rPr>
      <w:color w:val="954F72" w:themeColor="followedHyperlink"/>
      <w:u w:val="single"/>
    </w:rPr>
  </w:style>
  <w:style w:type="character" w:styleId="Nierozpoznanawzmianka2" w:customStyle="1">
    <w:name w:val="Nierozpoznana wzmianka2"/>
    <w:basedOn w:val="DefaultParagraphFont"/>
    <w:uiPriority w:val="99"/>
    <w:semiHidden/>
    <w:unhideWhenUsed/>
    <w:qFormat/>
    <w:rsid w:val="00604bec"/>
    <w:rPr>
      <w:color w:val="605E5C"/>
      <w:shd w:fill="E1DFDD" w:val="clear"/>
    </w:rPr>
  </w:style>
  <w:style w:type="character" w:styleId="Tekstpodstawowy2Znak" w:customStyle="1">
    <w:name w:val="Tekst podstawowy 2 Znak"/>
    <w:basedOn w:val="DefaultParagraphFont"/>
    <w:link w:val="Tekstpodstawowy2"/>
    <w:uiPriority w:val="99"/>
    <w:qFormat/>
    <w:rsid w:val="00580047"/>
    <w:rPr>
      <w:rFonts w:ascii="Times New Roman" w:hAnsi="Times New Roman" w:cs="Times New Roman"/>
      <w:sz w:val="24"/>
      <w:szCs w:val="24"/>
      <w:lang w:val="pl-PL" w:eastAsia="pl-PL"/>
    </w:rPr>
  </w:style>
  <w:style w:type="character" w:styleId="Wyrnienie">
    <w:name w:val="Wyróżnienie"/>
    <w:basedOn w:val="DefaultParagraphFont"/>
    <w:uiPriority w:val="20"/>
    <w:qFormat/>
    <w:rsid w:val="00186be1"/>
    <w:rPr>
      <w:i/>
      <w:iCs/>
    </w:rPr>
  </w:style>
  <w:style w:type="character" w:styleId="Nagwek1Znak" w:customStyle="1">
    <w:name w:val="Nagłówek 1 Znak"/>
    <w:basedOn w:val="DefaultParagraphFont"/>
    <w:link w:val="Nagwek1"/>
    <w:uiPriority w:val="9"/>
    <w:qFormat/>
    <w:rsid w:val="00111126"/>
    <w:rPr>
      <w:rFonts w:ascii="Calibri" w:hAnsi="Calibri" w:eastAsia="Calibri" w:cs="Calibri"/>
      <w:color w:val="000000"/>
      <w:sz w:val="20"/>
      <w:u w:val="single" w:color="000000"/>
      <w:lang w:val="pl-PL" w:eastAsia="pl-PL"/>
    </w:rPr>
  </w:style>
  <w:style w:type="character" w:styleId="Strong">
    <w:name w:val="Strong"/>
    <w:basedOn w:val="DefaultParagraphFont"/>
    <w:uiPriority w:val="22"/>
    <w:qFormat/>
    <w:rsid w:val="00d75f69"/>
    <w:rPr>
      <w:b/>
      <w:bCs/>
    </w:rPr>
  </w:style>
  <w:style w:type="character" w:styleId="WW8Num3z0">
    <w:name w:val="WW8Num3z0"/>
    <w:qFormat/>
    <w:rPr>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
    <w:name w:val="ListLabel 1"/>
    <w:qFormat/>
    <w:rPr>
      <w:rFonts w:ascii="Times New Roman" w:hAnsi="Times New Roman"/>
      <w:sz w:val="22"/>
      <w:szCs w:val="22"/>
    </w:rPr>
  </w:style>
  <w:style w:type="character" w:styleId="WW8Num2z0">
    <w:name w:val="WW8Num2z0"/>
    <w:qFormat/>
    <w:rPr>
      <w:rFonts w:ascii="Arial" w:hAnsi="Arial" w:cs="Arial"/>
      <w:sz w:val="20"/>
      <w:szCs w:val="20"/>
    </w:rPr>
  </w:style>
  <w:style w:type="character" w:styleId="ListLabel2">
    <w:name w:val="ListLabel 2"/>
    <w:qFormat/>
    <w:rPr>
      <w:rFonts w:ascii="Times New Roman" w:hAnsi="Times New Roman" w:cs="Arial"/>
      <w:sz w:val="22"/>
      <w:szCs w:val="20"/>
    </w:rPr>
  </w:style>
  <w:style w:type="character" w:styleId="Mocnowyrniony">
    <w:name w:val="Mocno wyróżniony"/>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ea3edb"/>
    <w:pPr>
      <w:tabs>
        <w:tab w:val="clear" w:pos="709"/>
        <w:tab w:val="center" w:pos="4703" w:leader="none"/>
        <w:tab w:val="right" w:pos="9406" w:leader="none"/>
      </w:tabs>
      <w:spacing w:lineRule="auto" w:line="240" w:before="0" w:after="0"/>
    </w:pPr>
    <w:rPr/>
  </w:style>
  <w:style w:type="paragraph" w:styleId="Stopka">
    <w:name w:val="Footer"/>
    <w:basedOn w:val="Normal"/>
    <w:link w:val="StopkaZnak"/>
    <w:uiPriority w:val="99"/>
    <w:unhideWhenUsed/>
    <w:rsid w:val="00ea3edb"/>
    <w:pPr>
      <w:tabs>
        <w:tab w:val="clear" w:pos="709"/>
        <w:tab w:val="center" w:pos="4703" w:leader="none"/>
        <w:tab w:val="right" w:pos="9406" w:leader="none"/>
      </w:tabs>
      <w:spacing w:lineRule="auto" w:line="240" w:before="0" w:after="0"/>
    </w:pPr>
    <w:rPr/>
  </w:style>
  <w:style w:type="paragraph" w:styleId="Przypiskocowy">
    <w:name w:val="Endnote Text"/>
    <w:basedOn w:val="Normal"/>
    <w:link w:val="TekstprzypisukocowegoZnak"/>
    <w:uiPriority w:val="99"/>
    <w:semiHidden/>
    <w:unhideWhenUsed/>
    <w:rsid w:val="00e56972"/>
    <w:pPr>
      <w:spacing w:lineRule="auto" w:line="240" w:before="0" w:after="0"/>
    </w:pPr>
    <w:rPr>
      <w:sz w:val="20"/>
      <w:szCs w:val="20"/>
    </w:rPr>
  </w:style>
  <w:style w:type="paragraph" w:styleId="Annotationtext">
    <w:name w:val="annotation text"/>
    <w:basedOn w:val="Normal"/>
    <w:link w:val="TekstkomentarzaZnak"/>
    <w:uiPriority w:val="99"/>
    <w:unhideWhenUsed/>
    <w:qFormat/>
    <w:rsid w:val="009c6bca"/>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9c6bca"/>
    <w:pPr/>
    <w:rPr>
      <w:b/>
      <w:bCs/>
    </w:rPr>
  </w:style>
  <w:style w:type="paragraph" w:styleId="BalloonText">
    <w:name w:val="Balloon Text"/>
    <w:basedOn w:val="Normal"/>
    <w:link w:val="TekstdymkaZnak"/>
    <w:uiPriority w:val="99"/>
    <w:semiHidden/>
    <w:unhideWhenUsed/>
    <w:qFormat/>
    <w:rsid w:val="009c6bca"/>
    <w:pPr>
      <w:spacing w:lineRule="auto" w:line="240" w:before="0" w:after="0"/>
    </w:pPr>
    <w:rPr>
      <w:rFonts w:ascii="Segoe UI" w:hAnsi="Segoe UI" w:cs="Segoe UI"/>
      <w:sz w:val="18"/>
      <w:szCs w:val="18"/>
    </w:rPr>
  </w:style>
  <w:style w:type="paragraph" w:styleId="ListParagraph">
    <w:name w:val="List Paragraph"/>
    <w:basedOn w:val="Normal"/>
    <w:link w:val="AkapitzlistZnak"/>
    <w:qFormat/>
    <w:rsid w:val="00bc738b"/>
    <w:pPr>
      <w:spacing w:lineRule="auto" w:line="259" w:before="0" w:after="160"/>
      <w:ind w:left="720" w:hanging="0"/>
      <w:contextualSpacing/>
    </w:pPr>
    <w:rPr/>
  </w:style>
  <w:style w:type="paragraph" w:styleId="Revision">
    <w:name w:val="Revision"/>
    <w:uiPriority w:val="99"/>
    <w:semiHidden/>
    <w:qFormat/>
    <w:rsid w:val="00fd5c3a"/>
    <w:pPr>
      <w:widowControl/>
      <w:overflowPunct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Standard" w:customStyle="1">
    <w:name w:val="Standard"/>
    <w:qFormat/>
    <w:rsid w:val="00304642"/>
    <w:pPr>
      <w:widowControl/>
      <w:suppressAutoHyphens w:val="true"/>
      <w:overflowPunct w:val="true"/>
      <w:bidi w:val="0"/>
      <w:spacing w:lineRule="auto" w:line="360" w:before="0" w:after="0"/>
      <w:jc w:val="both"/>
      <w:textAlignment w:val="baseline"/>
    </w:pPr>
    <w:rPr>
      <w:rFonts w:ascii="Arial" w:hAnsi="Arial" w:eastAsia="Times New Roman" w:cs="Arial"/>
      <w:color w:val="auto"/>
      <w:kern w:val="2"/>
      <w:sz w:val="22"/>
      <w:szCs w:val="24"/>
      <w:lang w:val="pl-PL" w:eastAsia="zh-CN" w:bidi="ar-SA"/>
    </w:rPr>
  </w:style>
  <w:style w:type="paragraph" w:styleId="HTMLPreformatted">
    <w:name w:val="HTML Preformatted"/>
    <w:basedOn w:val="Normal"/>
    <w:link w:val="HTML-wstpniesformatowanyZnak"/>
    <w:uiPriority w:val="99"/>
    <w:semiHidden/>
    <w:unhideWhenUsed/>
    <w:qFormat/>
    <w:rsid w:val="00dc0c69"/>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l-PL"/>
    </w:rPr>
  </w:style>
  <w:style w:type="paragraph" w:styleId="Default" w:customStyle="1">
    <w:name w:val="Default"/>
    <w:qFormat/>
    <w:rsid w:val="0022631a"/>
    <w:pPr>
      <w:widowControl/>
      <w:overflowPunct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NormalWeb">
    <w:name w:val="Normal (Web)"/>
    <w:basedOn w:val="Normal"/>
    <w:uiPriority w:val="99"/>
    <w:unhideWhenUsed/>
    <w:qFormat/>
    <w:rsid w:val="00580047"/>
    <w:pPr>
      <w:spacing w:lineRule="auto" w:line="240" w:beforeAutospacing="1" w:afterAutospacing="1"/>
    </w:pPr>
    <w:rPr>
      <w:rFonts w:ascii="Calibri" w:hAnsi="Calibri" w:cs="Calibri"/>
      <w:lang w:eastAsia="pl-PL"/>
    </w:rPr>
  </w:style>
  <w:style w:type="paragraph" w:styleId="BodyText2">
    <w:name w:val="Body Text 2"/>
    <w:basedOn w:val="Normal"/>
    <w:link w:val="Tekstpodstawowy2Znak"/>
    <w:uiPriority w:val="99"/>
    <w:unhideWhenUsed/>
    <w:qFormat/>
    <w:rsid w:val="00580047"/>
    <w:pPr>
      <w:spacing w:lineRule="auto" w:line="240" w:before="0" w:after="0"/>
    </w:pPr>
    <w:rPr>
      <w:rFonts w:ascii="Times New Roman" w:hAnsi="Times New Roman" w:cs="Times New Roman"/>
      <w:sz w:val="24"/>
      <w:szCs w:val="24"/>
      <w:lang w:eastAsia="pl-PL"/>
    </w:rPr>
  </w:style>
  <w:style w:type="paragraph" w:styleId="Akapitzlist">
    <w:name w:val="Akapit z listą"/>
    <w:basedOn w:val="Normal"/>
    <w:qFormat/>
    <w:pPr>
      <w:suppressAutoHyphens w:val="false"/>
      <w:ind w:left="720" w:right="0" w:hanging="0"/>
    </w:pPr>
    <w:rPr>
      <w:rFonts w:ascii="Calibri" w:hAnsi="Calibri" w:eastAsia="Calibri" w:cs="Times New Roman"/>
      <w:sz w:val="22"/>
      <w:szCs w:val="22"/>
    </w:rPr>
  </w:style>
  <w:style w:type="paragraph" w:styleId="Liniapozioma">
    <w:name w:val="Linia pozioma"/>
    <w:basedOn w:val="Normal"/>
    <w:next w:val="Tretekstu"/>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16E0-79C8-43E8-A32D-963E7D96F0AA}">
  <ds:schemaRefs>
    <ds:schemaRef ds:uri="http://schemas.microsoft.com/sharepoint/v3/contenttype/forms"/>
  </ds:schemaRefs>
</ds:datastoreItem>
</file>

<file path=customXml/itemProps2.xml><?xml version="1.0" encoding="utf-8"?>
<ds:datastoreItem xmlns:ds="http://schemas.openxmlformats.org/officeDocument/2006/customXml" ds:itemID="{11593CCD-18C3-4928-AC67-F58EBE24D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D65B0-EEBD-446E-A667-8D888F56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Application>LibreOffice/6.2.5.2$Windows_x86 LibreOffice_project/1ec314fa52f458adc18c4f025c545a4e8b22c159</Application>
  <Pages>13</Pages>
  <Words>5453</Words>
  <Characters>35711</Characters>
  <CharactersWithSpaces>41011</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2021-10-25T12:37:00Z</dcterms:created>
  <dc:creator>Dorota</dc:creator>
  <dc:description/>
  <dc:language>pl-PL</dc:language>
  <cp:lastModifiedBy/>
  <cp:lastPrinted>2021-11-02T13:02:42Z</cp:lastPrinted>
  <dcterms:modified xsi:type="dcterms:W3CDTF">2021-11-03T11:20:37Z</dcterms:modified>
  <cp:revision>14</cp:revision>
  <dc:subject/>
  <dc:title>PEŁNOMOCNICTWO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0x01010010C1C867330330498A47AFEE86AFD974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